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16E5A" w14:textId="77777777" w:rsidR="00770D0B" w:rsidRDefault="00AB1241">
      <w:pPr>
        <w:pStyle w:val="Heading1"/>
      </w:pPr>
      <w:r>
        <w:t>Emily Ho, Ph.D.</w:t>
      </w:r>
    </w:p>
    <w:p w14:paraId="4703536D" w14:textId="77777777" w:rsidR="00770D0B" w:rsidRDefault="00AB1241">
      <w:pPr>
        <w:pStyle w:val="Subtitle"/>
        <w:spacing w:after="80"/>
      </w:pPr>
      <w:r>
        <w:t>Curriculum Vitae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400"/>
        <w:gridCol w:w="3960"/>
      </w:tblGrid>
      <w:tr w:rsidR="00770D0B" w14:paraId="6EBF6E9E" w14:textId="77777777">
        <w:tc>
          <w:tcPr>
            <w:tcW w:w="5400"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14:paraId="65A4698B" w14:textId="77777777" w:rsidR="00770D0B" w:rsidRDefault="00AB1241">
            <w:pPr>
              <w:spacing w:after="40"/>
            </w:pPr>
            <w:r>
              <w:rPr>
                <w:b/>
                <w:bCs/>
              </w:rPr>
              <w:t>Oregon State University</w:t>
            </w:r>
          </w:p>
          <w:p w14:paraId="6F71D761" w14:textId="77777777" w:rsidR="00770D0B" w:rsidRDefault="00AB1241">
            <w:pPr>
              <w:spacing w:after="40"/>
            </w:pPr>
            <w:r>
              <w:t>Linus Pauling Institute</w:t>
            </w:r>
          </w:p>
          <w:p w14:paraId="7D6094ED" w14:textId="77777777" w:rsidR="00770D0B" w:rsidRDefault="00AB1241">
            <w:pPr>
              <w:spacing w:after="40"/>
            </w:pPr>
            <w:r>
              <w:t>307 Linus Pauling Science Center</w:t>
            </w:r>
          </w:p>
          <w:p w14:paraId="7D3E4F7D" w14:textId="77777777" w:rsidR="00770D0B" w:rsidRDefault="00AB1241">
            <w:pPr>
              <w:spacing w:after="40"/>
            </w:pPr>
            <w:r>
              <w:t>Corvallis, OR 97330</w:t>
            </w:r>
          </w:p>
        </w:tc>
        <w:tc>
          <w:tcPr>
            <w:tcW w:w="3960" w:type="dxa"/>
            <w:tcBorders>
              <w:top w:val="none" w:sz="0" w:space="0" w:color="FFFFFF"/>
              <w:left w:val="none" w:sz="0" w:space="0" w:color="FFFFFF"/>
              <w:bottom w:val="none" w:sz="0" w:space="0" w:color="FFFFFF"/>
              <w:right w:val="none" w:sz="0" w:space="0" w:color="FFFFFF"/>
            </w:tcBorders>
            <w:tcMar>
              <w:top w:w="0" w:type="dxa"/>
              <w:left w:w="80" w:type="dxa"/>
              <w:bottom w:w="0" w:type="dxa"/>
              <w:right w:w="0" w:type="dxa"/>
            </w:tcMar>
          </w:tcPr>
          <w:p w14:paraId="5A7C774E" w14:textId="77777777" w:rsidR="00770D0B" w:rsidRDefault="00AB1241">
            <w:pPr>
              <w:spacing w:after="40"/>
            </w:pPr>
            <w:r>
              <w:t>Office: (541) 737-9559</w:t>
            </w:r>
          </w:p>
          <w:p w14:paraId="73F9BFC7" w14:textId="77777777" w:rsidR="00770D0B" w:rsidRDefault="00AB1241">
            <w:pPr>
              <w:spacing w:after="40"/>
            </w:pPr>
            <w:r>
              <w:t>Cell: (541) 231-9387</w:t>
            </w:r>
          </w:p>
          <w:p w14:paraId="4F3F2A55" w14:textId="77777777" w:rsidR="00770D0B" w:rsidRDefault="00AB1241">
            <w:pPr>
              <w:spacing w:after="40"/>
            </w:pPr>
            <w:r>
              <w:t>Fax: (541) 737-6914</w:t>
            </w:r>
          </w:p>
          <w:p w14:paraId="4547CE3A" w14:textId="77777777" w:rsidR="00770D0B" w:rsidRDefault="00AB1241">
            <w:pPr>
              <w:spacing w:after="40"/>
            </w:pPr>
            <w:hyperlink r:id="rId5" w:history="1">
              <w:r>
                <w:rPr>
                  <w:rStyle w:val="Hyperlink"/>
                </w:rPr>
                <w:t>emily.ho@oregonstate.edu</w:t>
              </w:r>
            </w:hyperlink>
          </w:p>
        </w:tc>
      </w:tr>
    </w:tbl>
    <w:p w14:paraId="4103A4A6" w14:textId="77777777" w:rsidR="00770D0B" w:rsidRDefault="00770D0B">
      <w:pPr>
        <w:spacing w:after="120"/>
      </w:pPr>
    </w:p>
    <w:p w14:paraId="43D05AE2" w14:textId="77777777" w:rsidR="00770D0B" w:rsidRDefault="00AB1241">
      <w:pPr>
        <w:pStyle w:val="Heading2"/>
        <w:pBdr>
          <w:bottom w:val="single" w:sz="6" w:space="1" w:color="D3832B"/>
        </w:pBdr>
      </w:pPr>
      <w:r>
        <w:t>Impact Profile</w:t>
      </w:r>
    </w:p>
    <w:p w14:paraId="2B3B5D21" w14:textId="77777777" w:rsidR="00770D0B" w:rsidRDefault="00AB1241">
      <w:pPr>
        <w:spacing w:after="80"/>
      </w:pPr>
      <w:r>
        <w:t>Emily Ho is an internationally recognized leader in health and biotechnology whose research program translates discoveries in precision nutrition, epigenetics, micronutrients, and the gut microbiome into interventions for cancer prevention, immune resilience, and healthy aging. Her work integrates mechanistic biology, human clinical trials, and population-relevant translation, with proven pathways to practice through health systems, public-health partners, and industry collaborations. As Endowed Chair and Director of the Linus Pauling Institute, she leads one of the nation's foremost programs dedicated to understanding how nutrient mechanisms translate into practical dietary guidance. At OSU, she led the OSU Prosperity Widely Shared Strategy Plan for Integrated Health and Biotechnology. She has built and led interdisciplinary teams, secured multi-sector funding, trained diverse students, and mobilized knowledge globally through clinical studies, continuing-education conferences, and widely accessed public-health resources.</w:t>
      </w:r>
    </w:p>
    <w:p w14:paraId="1F708A57" w14:textId="77777777" w:rsidR="00770D0B" w:rsidRDefault="00AB1241">
      <w:pPr>
        <w:pStyle w:val="Heading2"/>
        <w:pBdr>
          <w:bottom w:val="single" w:sz="6" w:space="1" w:color="D3832B"/>
        </w:pBdr>
      </w:pPr>
      <w:r>
        <w:t>Education and Training</w:t>
      </w:r>
    </w:p>
    <w:p w14:paraId="3B77ECCB" w14:textId="77777777" w:rsidR="00770D0B" w:rsidRDefault="00AB1241">
      <w:pPr>
        <w:pStyle w:val="Heading3"/>
      </w:pPr>
      <w:r>
        <w:t>Doctorate of Philosophy in Human Nutrition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200"/>
        <w:gridCol w:w="2160"/>
      </w:tblGrid>
      <w:tr w:rsidR="00770D0B" w14:paraId="5BA9541E" w14:textId="77777777">
        <w:tc>
          <w:tcPr>
            <w:tcW w:w="7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2C402A3" w14:textId="77777777" w:rsidR="00770D0B" w:rsidRDefault="00AB1241">
            <w:r>
              <w:rPr>
                <w:b/>
                <w:bCs/>
              </w:rPr>
              <w:t>The Ohio State University, Columbus, Ohio</w:t>
            </w:r>
          </w:p>
        </w:tc>
        <w:tc>
          <w:tcPr>
            <w:tcW w:w="2160"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34A5E75B" w14:textId="77777777" w:rsidR="00770D0B" w:rsidRDefault="00AB1241">
            <w:pPr>
              <w:jc w:val="right"/>
            </w:pPr>
            <w:r>
              <w:t>June 2000</w:t>
            </w:r>
          </w:p>
        </w:tc>
      </w:tr>
    </w:tbl>
    <w:p w14:paraId="0A0CED60" w14:textId="77777777" w:rsidR="00770D0B" w:rsidRDefault="00AB1241">
      <w:pPr>
        <w:spacing w:after="80"/>
      </w:pPr>
      <w:r>
        <w:t>Major field: Human Nutrition with Specialized Areas in Biochemistry and Molecular Biology</w:t>
      </w:r>
    </w:p>
    <w:p w14:paraId="2CFB33A0" w14:textId="77777777" w:rsidR="00770D0B" w:rsidRDefault="00AB1241">
      <w:pPr>
        <w:pStyle w:val="Heading3"/>
      </w:pPr>
      <w:r>
        <w:t>Bachelor of Science in Nutrition Sciences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200"/>
        <w:gridCol w:w="2160"/>
      </w:tblGrid>
      <w:tr w:rsidR="00770D0B" w14:paraId="6F3F53EA" w14:textId="77777777">
        <w:tc>
          <w:tcPr>
            <w:tcW w:w="7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BF839FF" w14:textId="77777777" w:rsidR="00770D0B" w:rsidRDefault="00AB1241">
            <w:r>
              <w:rPr>
                <w:b/>
                <w:bCs/>
              </w:rPr>
              <w:t>University of Guelph, Guelph, ON, Canada</w:t>
            </w:r>
          </w:p>
        </w:tc>
        <w:tc>
          <w:tcPr>
            <w:tcW w:w="2160"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3CD5C04E" w14:textId="77777777" w:rsidR="00770D0B" w:rsidRDefault="00AB1241">
            <w:pPr>
              <w:jc w:val="right"/>
            </w:pPr>
            <w:r>
              <w:t>June 1995</w:t>
            </w:r>
          </w:p>
        </w:tc>
      </w:tr>
    </w:tbl>
    <w:p w14:paraId="6B832134" w14:textId="77777777" w:rsidR="00770D0B" w:rsidRDefault="00AB1241">
      <w:pPr>
        <w:pStyle w:val="Heading2"/>
        <w:pBdr>
          <w:bottom w:val="single" w:sz="6" w:space="1" w:color="D3832B"/>
        </w:pBdr>
      </w:pPr>
      <w:r>
        <w:t>Professional Experience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200"/>
        <w:gridCol w:w="2160"/>
      </w:tblGrid>
      <w:tr w:rsidR="00EE1A2B" w14:paraId="1A2B3C4D" w14:textId="77777777">
        <w:trPr>
          <w:tblHeader/>
        </w:trPr>
        <w:tc>
          <w:tcPr>
            <w:tcW w:w="7200" w:type="dxa"/>
            <w:tcBorders>
              <w:top w:val="none" w:sz="0" w:space="0" w:color="FFFFFF"/>
              <w:left w:val="none" w:sz="0" w:space="0" w:color="FFFFFF"/>
              <w:bottom w:val="single" w:sz="4" w:space="0" w:color="595959"/>
              <w:right w:val="none" w:sz="0" w:space="0" w:color="FFFFFF"/>
            </w:tcBorders>
            <w:shd w:val="clear" w:color="auto" w:fill="F2F2F2"/>
            <w:tcMar>
              <w:top w:w="40" w:type="dxa"/>
              <w:left w:w="0" w:type="dxa"/>
              <w:bottom w:w="40" w:type="dxa"/>
              <w:right w:w="80" w:type="dxa"/>
            </w:tcMar>
          </w:tcPr>
          <w:p w14:paraId="1A2B3C4E" w14:textId="77777777" w:rsidR="00EE1A2B" w:rsidRDefault="00EE1A2B">
            <w:r>
              <w:rPr>
                <w:b/>
                <w:bCs/>
              </w:rPr>
              <w:t>Position</w:t>
            </w:r>
          </w:p>
        </w:tc>
        <w:tc>
          <w:tcPr>
            <w:tcW w:w="2160" w:type="dxa"/>
            <w:tcBorders>
              <w:top w:val="none" w:sz="0" w:space="0" w:color="FFFFFF"/>
              <w:left w:val="none" w:sz="0" w:space="0" w:color="FFFFFF"/>
              <w:bottom w:val="single" w:sz="4" w:space="0" w:color="595959"/>
              <w:right w:val="none" w:sz="0" w:space="0" w:color="FFFFFF"/>
            </w:tcBorders>
            <w:shd w:val="clear" w:color="auto" w:fill="F2F2F2"/>
            <w:tcMar>
              <w:top w:w="40" w:type="dxa"/>
              <w:left w:w="0" w:type="dxa"/>
              <w:bottom w:w="40" w:type="dxa"/>
              <w:right w:w="80" w:type="dxa"/>
            </w:tcMar>
          </w:tcPr>
          <w:p w14:paraId="1A2B3C4F" w14:textId="77777777" w:rsidR="00EE1A2B" w:rsidRDefault="00EE1A2B">
            <w:r>
              <w:rPr>
                <w:b/>
                <w:bCs/>
              </w:rPr>
              <w:t>Dates</w:t>
            </w:r>
          </w:p>
        </w:tc>
      </w:tr>
      <w:tr w:rsidR="00770D0B" w14:paraId="5BA83646" w14:textId="77777777">
        <w:tc>
          <w:tcPr>
            <w:tcW w:w="7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09DC8FF" w14:textId="77777777" w:rsidR="00770D0B" w:rsidRDefault="00AB1241">
            <w:r>
              <w:t>Endowed Chair and Director, Linus Pauling Institute, Oregon State University</w:t>
            </w:r>
          </w:p>
        </w:tc>
        <w:tc>
          <w:tcPr>
            <w:tcW w:w="2160"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603490E9" w14:textId="77777777" w:rsidR="00770D0B" w:rsidRDefault="00AB1241">
            <w:pPr>
              <w:jc w:val="right"/>
            </w:pPr>
            <w:r>
              <w:t>July 2020–present</w:t>
            </w:r>
          </w:p>
        </w:tc>
      </w:tr>
      <w:tr w:rsidR="00770D0B" w14:paraId="721BCD78" w14:textId="77777777">
        <w:tc>
          <w:tcPr>
            <w:tcW w:w="7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F371064" w14:textId="77777777" w:rsidR="00770D0B" w:rsidRDefault="00AB1241">
            <w:r>
              <w:t>Distinguished Professor of Nutrition, Oregon State University</w:t>
            </w:r>
          </w:p>
        </w:tc>
        <w:tc>
          <w:tcPr>
            <w:tcW w:w="2160"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5E7CBAEC" w14:textId="77777777" w:rsidR="00770D0B" w:rsidRDefault="00AB1241">
            <w:pPr>
              <w:jc w:val="right"/>
            </w:pPr>
            <w:r>
              <w:t>March 2023–present</w:t>
            </w:r>
          </w:p>
        </w:tc>
      </w:tr>
      <w:tr w:rsidR="00770D0B" w14:paraId="79E20DC1" w14:textId="77777777">
        <w:tc>
          <w:tcPr>
            <w:tcW w:w="7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FA6575A" w14:textId="77777777" w:rsidR="00770D0B" w:rsidRDefault="00AB1241">
            <w:r>
              <w:t>Deputy Director (Interim Director 2022–2023), Pacific Northwest Center for Translational and Environmental Health Research (P30)</w:t>
            </w:r>
          </w:p>
        </w:tc>
        <w:tc>
          <w:tcPr>
            <w:tcW w:w="2160"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1B71DAC2" w14:textId="77777777" w:rsidR="00770D0B" w:rsidRDefault="00AB1241">
            <w:pPr>
              <w:jc w:val="right"/>
            </w:pPr>
            <w:r>
              <w:t>July 2020–present</w:t>
            </w:r>
          </w:p>
        </w:tc>
      </w:tr>
      <w:tr w:rsidR="00770D0B" w14:paraId="4F2BBE51" w14:textId="77777777">
        <w:tc>
          <w:tcPr>
            <w:tcW w:w="7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03697AD" w14:textId="77777777" w:rsidR="00770D0B" w:rsidRDefault="00AB1241">
            <w:r>
              <w:t>Principal Investigator, Linus Pauling Institute, Oregon State University</w:t>
            </w:r>
          </w:p>
        </w:tc>
        <w:tc>
          <w:tcPr>
            <w:tcW w:w="2160"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7965BDB5" w14:textId="77777777" w:rsidR="00770D0B" w:rsidRDefault="00AB1241">
            <w:pPr>
              <w:jc w:val="right"/>
            </w:pPr>
            <w:r>
              <w:t>June 2005–present</w:t>
            </w:r>
          </w:p>
        </w:tc>
      </w:tr>
      <w:tr w:rsidR="00770D0B" w14:paraId="4EE87D7C" w14:textId="77777777">
        <w:tc>
          <w:tcPr>
            <w:tcW w:w="7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C31031D" w14:textId="77777777" w:rsidR="00770D0B" w:rsidRDefault="00AB1241">
            <w:r>
              <w:t>Co-Director, Center for Healthy Aging Research, College of Public Health &amp; Human Sciences</w:t>
            </w:r>
          </w:p>
        </w:tc>
        <w:tc>
          <w:tcPr>
            <w:tcW w:w="2160"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5F5159A2" w14:textId="77777777" w:rsidR="00770D0B" w:rsidRDefault="00AB1241">
            <w:pPr>
              <w:jc w:val="right"/>
            </w:pPr>
            <w:r>
              <w:t>January 2022–September 2024</w:t>
            </w:r>
          </w:p>
        </w:tc>
      </w:tr>
      <w:tr w:rsidR="00770D0B" w14:paraId="208D6526" w14:textId="77777777">
        <w:tc>
          <w:tcPr>
            <w:tcW w:w="7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822CB86" w14:textId="77777777" w:rsidR="00770D0B" w:rsidRDefault="00AB1241">
            <w:r>
              <w:t>Provost Fellow, Office of Faculty Affairs; Faculty Development</w:t>
            </w:r>
          </w:p>
        </w:tc>
        <w:tc>
          <w:tcPr>
            <w:tcW w:w="2160"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79E6A679" w14:textId="77777777" w:rsidR="00770D0B" w:rsidRDefault="00AB1241">
            <w:pPr>
              <w:jc w:val="right"/>
            </w:pPr>
            <w:r>
              <w:t>September 2019–2020</w:t>
            </w:r>
          </w:p>
        </w:tc>
      </w:tr>
      <w:tr w:rsidR="00770D0B" w14:paraId="718966BE" w14:textId="77777777">
        <w:tc>
          <w:tcPr>
            <w:tcW w:w="7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B6E1993" w14:textId="77777777" w:rsidR="00770D0B" w:rsidRDefault="00AB1241">
            <w:r>
              <w:t>Endowed Director, Moore Family Center for Whole Grain Foods, Nutrition and Preventive Health</w:t>
            </w:r>
          </w:p>
        </w:tc>
        <w:tc>
          <w:tcPr>
            <w:tcW w:w="2160"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79D81422" w14:textId="77777777" w:rsidR="00770D0B" w:rsidRDefault="00AB1241">
            <w:pPr>
              <w:jc w:val="right"/>
            </w:pPr>
            <w:r>
              <w:t>July 2012–2020</w:t>
            </w:r>
          </w:p>
        </w:tc>
      </w:tr>
      <w:tr w:rsidR="00770D0B" w14:paraId="7E08DFB5" w14:textId="77777777">
        <w:tc>
          <w:tcPr>
            <w:tcW w:w="7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F3773BF" w14:textId="77777777" w:rsidR="00770D0B" w:rsidRDefault="00AB1241">
            <w:r>
              <w:t>Full Professor, School of Nutrition and Public Health, Oregon State University</w:t>
            </w:r>
          </w:p>
        </w:tc>
        <w:tc>
          <w:tcPr>
            <w:tcW w:w="2160"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4D602F71" w14:textId="77777777" w:rsidR="00770D0B" w:rsidRDefault="00AB1241">
            <w:pPr>
              <w:jc w:val="right"/>
            </w:pPr>
            <w:r>
              <w:t>September 2013–2023</w:t>
            </w:r>
          </w:p>
        </w:tc>
      </w:tr>
      <w:tr w:rsidR="00770D0B" w14:paraId="4D468144" w14:textId="77777777">
        <w:tc>
          <w:tcPr>
            <w:tcW w:w="7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57B24E8" w14:textId="77777777" w:rsidR="00770D0B" w:rsidRDefault="00AB1241">
            <w:r>
              <w:lastRenderedPageBreak/>
              <w:t>Clinical Assistant Professor, Dept. Medicine; Endocrinology &amp; Clinical Nutrition, Oregon Health &amp; Sciences University</w:t>
            </w:r>
          </w:p>
        </w:tc>
        <w:tc>
          <w:tcPr>
            <w:tcW w:w="2160"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50439F63" w14:textId="77777777" w:rsidR="00770D0B" w:rsidRDefault="00AB1241">
            <w:pPr>
              <w:jc w:val="right"/>
            </w:pPr>
            <w:r>
              <w:t>June 2004–present</w:t>
            </w:r>
          </w:p>
        </w:tc>
      </w:tr>
      <w:tr w:rsidR="00770D0B" w14:paraId="2690E0C2" w14:textId="77777777">
        <w:tc>
          <w:tcPr>
            <w:tcW w:w="7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4D9E18D" w14:textId="77777777" w:rsidR="00770D0B" w:rsidRDefault="00AB1241">
            <w:r>
              <w:t>Associate Professor, School of Biological &amp; Population Health Sciences, Oregon State University</w:t>
            </w:r>
          </w:p>
        </w:tc>
        <w:tc>
          <w:tcPr>
            <w:tcW w:w="2160"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55AE9B83" w14:textId="77777777" w:rsidR="00770D0B" w:rsidRDefault="00AB1241">
            <w:pPr>
              <w:jc w:val="right"/>
            </w:pPr>
            <w:r>
              <w:t>September 2008–2013</w:t>
            </w:r>
          </w:p>
        </w:tc>
      </w:tr>
      <w:tr w:rsidR="00770D0B" w14:paraId="0CA67C2D" w14:textId="77777777">
        <w:tc>
          <w:tcPr>
            <w:tcW w:w="7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F0B4919" w14:textId="77777777" w:rsidR="00770D0B" w:rsidRDefault="00AB1241">
            <w:r>
              <w:t>Assistant Professor, Nutrition and Exercise Sciences, Oregon State University</w:t>
            </w:r>
          </w:p>
        </w:tc>
        <w:tc>
          <w:tcPr>
            <w:tcW w:w="2160"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0EFFF6A9" w14:textId="77777777" w:rsidR="00770D0B" w:rsidRDefault="00AB1241">
            <w:pPr>
              <w:jc w:val="right"/>
            </w:pPr>
            <w:r>
              <w:t>February 2003–August 2008</w:t>
            </w:r>
          </w:p>
        </w:tc>
      </w:tr>
      <w:tr w:rsidR="00770D0B" w14:paraId="2DBDDB04" w14:textId="77777777">
        <w:tc>
          <w:tcPr>
            <w:tcW w:w="7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9F68876" w14:textId="77777777" w:rsidR="00770D0B" w:rsidRDefault="00AB1241">
            <w:r>
              <w:t>Affiliate Scientist, Linus Pauling Institute, Oregon State University</w:t>
            </w:r>
          </w:p>
        </w:tc>
        <w:tc>
          <w:tcPr>
            <w:tcW w:w="2160"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31DE06F6" w14:textId="77777777" w:rsidR="00770D0B" w:rsidRDefault="00AB1241">
            <w:pPr>
              <w:jc w:val="right"/>
            </w:pPr>
            <w:r>
              <w:t>February 2003–May 2005</w:t>
            </w:r>
          </w:p>
        </w:tc>
      </w:tr>
      <w:tr w:rsidR="00770D0B" w14:paraId="3C18820F" w14:textId="77777777">
        <w:tc>
          <w:tcPr>
            <w:tcW w:w="7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7880583" w14:textId="77777777" w:rsidR="00770D0B" w:rsidRDefault="00AB1241">
            <w:r>
              <w:t>Postdoctoral Research Fellow, Children's Hospital Oakland Research Institute &amp; UC Berkeley</w:t>
            </w:r>
          </w:p>
        </w:tc>
        <w:tc>
          <w:tcPr>
            <w:tcW w:w="2160"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6848635B" w14:textId="77777777" w:rsidR="00770D0B" w:rsidRDefault="00AB1241">
            <w:pPr>
              <w:jc w:val="right"/>
            </w:pPr>
            <w:r>
              <w:t>July 2000–January 2003</w:t>
            </w:r>
          </w:p>
        </w:tc>
      </w:tr>
      <w:tr w:rsidR="00770D0B" w14:paraId="5B1C656A" w14:textId="77777777">
        <w:tc>
          <w:tcPr>
            <w:tcW w:w="7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34257C9" w14:textId="77777777" w:rsidR="00770D0B" w:rsidRDefault="00AB1241">
            <w:r>
              <w:t>Graduate Research &amp; Teaching Associate, Department of Human Nutrition, The Ohio State University</w:t>
            </w:r>
          </w:p>
        </w:tc>
        <w:tc>
          <w:tcPr>
            <w:tcW w:w="2160"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732E87CB" w14:textId="77777777" w:rsidR="00770D0B" w:rsidRDefault="00AB1241">
            <w:pPr>
              <w:jc w:val="right"/>
            </w:pPr>
            <w:r>
              <w:t>March 1996–June 2000</w:t>
            </w:r>
          </w:p>
        </w:tc>
      </w:tr>
    </w:tbl>
    <w:p w14:paraId="6B6B7849" w14:textId="77777777" w:rsidR="00770D0B" w:rsidRDefault="00AB1241">
      <w:pPr>
        <w:pStyle w:val="Heading2"/>
        <w:pBdr>
          <w:bottom w:val="single" w:sz="6" w:space="1" w:color="D3832B"/>
        </w:pBdr>
      </w:pPr>
      <w:r>
        <w:t>Awards and Honors</w:t>
      </w:r>
    </w:p>
    <w:p w14:paraId="14F26E20" w14:textId="77777777" w:rsidR="00770D0B" w:rsidRDefault="00AB1241">
      <w:pPr>
        <w:pStyle w:val="ListParagraph"/>
        <w:numPr>
          <w:ilvl w:val="0"/>
          <w:numId w:val="2"/>
        </w:numPr>
        <w:spacing w:after="40"/>
      </w:pPr>
      <w:r>
        <w:t>Young Investigator Award, The Oxygen Society (1996)</w:t>
      </w:r>
    </w:p>
    <w:p w14:paraId="337780CA" w14:textId="77777777" w:rsidR="00770D0B" w:rsidRDefault="00AB1241">
      <w:pPr>
        <w:pStyle w:val="ListParagraph"/>
        <w:numPr>
          <w:ilvl w:val="0"/>
          <w:numId w:val="2"/>
        </w:numPr>
        <w:spacing w:after="40"/>
      </w:pPr>
      <w:r>
        <w:t>Sigma Xi Student Research Award (1997)</w:t>
      </w:r>
    </w:p>
    <w:p w14:paraId="0A94A3F2" w14:textId="77777777" w:rsidR="00770D0B" w:rsidRDefault="00AB1241">
      <w:pPr>
        <w:pStyle w:val="ListParagraph"/>
        <w:numPr>
          <w:ilvl w:val="0"/>
          <w:numId w:val="2"/>
        </w:numPr>
        <w:spacing w:after="40"/>
      </w:pPr>
      <w:r>
        <w:t>OARDC Graduate Research Award, Ohio Agriculture Research and Development Center (1997)</w:t>
      </w:r>
    </w:p>
    <w:p w14:paraId="0362373C" w14:textId="77777777" w:rsidR="00770D0B" w:rsidRDefault="00AB1241">
      <w:pPr>
        <w:pStyle w:val="ListParagraph"/>
        <w:numPr>
          <w:ilvl w:val="0"/>
          <w:numId w:val="2"/>
        </w:numPr>
        <w:spacing w:after="40"/>
      </w:pPr>
      <w:r>
        <w:t>Graduate Research Forum, winner (oral presentation), The Ohio State University (1998)</w:t>
      </w:r>
    </w:p>
    <w:p w14:paraId="69EDB4BD" w14:textId="77777777" w:rsidR="00770D0B" w:rsidRDefault="00AB1241">
      <w:pPr>
        <w:pStyle w:val="ListParagraph"/>
        <w:numPr>
          <w:ilvl w:val="0"/>
          <w:numId w:val="2"/>
        </w:numPr>
        <w:spacing w:after="40"/>
      </w:pPr>
      <w:r>
        <w:t>Young Investigator Award, Oxygen Club of California (1998)</w:t>
      </w:r>
    </w:p>
    <w:p w14:paraId="5F3B9C7C" w14:textId="77777777" w:rsidR="00770D0B" w:rsidRDefault="00AB1241">
      <w:pPr>
        <w:pStyle w:val="ListParagraph"/>
        <w:numPr>
          <w:ilvl w:val="0"/>
          <w:numId w:val="2"/>
        </w:numPr>
        <w:spacing w:after="40"/>
      </w:pPr>
      <w:r>
        <w:t>Society of Experimental Biology and Medicine Travel Award (2000)</w:t>
      </w:r>
    </w:p>
    <w:p w14:paraId="0CEF3B7C" w14:textId="77777777" w:rsidR="00770D0B" w:rsidRDefault="00AB1241">
      <w:pPr>
        <w:pStyle w:val="ListParagraph"/>
        <w:numPr>
          <w:ilvl w:val="0"/>
          <w:numId w:val="2"/>
        </w:numPr>
        <w:spacing w:after="40"/>
      </w:pPr>
      <w:r>
        <w:t>Young Investigator Award – Outstanding Scientific Presentation, The Oxygen Society (2000)</w:t>
      </w:r>
    </w:p>
    <w:p w14:paraId="50C9AFE1" w14:textId="77777777" w:rsidR="00770D0B" w:rsidRDefault="00AB1241">
      <w:pPr>
        <w:pStyle w:val="ListParagraph"/>
        <w:numPr>
          <w:ilvl w:val="0"/>
          <w:numId w:val="2"/>
        </w:numPr>
        <w:spacing w:after="40"/>
      </w:pPr>
      <w:r>
        <w:t>Postdoctoral Fellow – Training Grant NIH 5 T32 ES07075 'Studies of Environmental Mutagens and Carcinogens' (2002)</w:t>
      </w:r>
    </w:p>
    <w:p w14:paraId="646D2E8A" w14:textId="77777777" w:rsidR="00770D0B" w:rsidRDefault="00AB1241">
      <w:pPr>
        <w:pStyle w:val="ListParagraph"/>
        <w:numPr>
          <w:ilvl w:val="0"/>
          <w:numId w:val="2"/>
        </w:numPr>
        <w:spacing w:after="40"/>
      </w:pPr>
      <w:r>
        <w:t>Best Paper Award in EBM journal 2001, Society for Experimental Biology and Medicine (2002)</w:t>
      </w:r>
    </w:p>
    <w:p w14:paraId="4B9F623D" w14:textId="77777777" w:rsidR="00770D0B" w:rsidRDefault="00AB1241">
      <w:pPr>
        <w:pStyle w:val="ListParagraph"/>
        <w:numPr>
          <w:ilvl w:val="0"/>
          <w:numId w:val="2"/>
        </w:numPr>
        <w:spacing w:after="40"/>
      </w:pPr>
      <w:r>
        <w:t>Junior Investigator Award, FASEB Summer Trace Element Conference (2004)</w:t>
      </w:r>
    </w:p>
    <w:p w14:paraId="3C888C89" w14:textId="77777777" w:rsidR="00770D0B" w:rsidRDefault="00AB1241">
      <w:pPr>
        <w:pStyle w:val="ListParagraph"/>
        <w:numPr>
          <w:ilvl w:val="0"/>
          <w:numId w:val="2"/>
        </w:numPr>
        <w:spacing w:after="40"/>
      </w:pPr>
      <w:r>
        <w:t>Junior Faculty Travel Award, American Urological Association (2005)</w:t>
      </w:r>
    </w:p>
    <w:p w14:paraId="5D843D75" w14:textId="77777777" w:rsidR="00770D0B" w:rsidRDefault="00AB1241">
      <w:pPr>
        <w:pStyle w:val="ListParagraph"/>
        <w:numPr>
          <w:ilvl w:val="0"/>
          <w:numId w:val="2"/>
        </w:numPr>
        <w:spacing w:after="40"/>
      </w:pPr>
      <w:r>
        <w:t>Finalist, ILSI Future Leader Award (2005)</w:t>
      </w:r>
    </w:p>
    <w:p w14:paraId="35369B9A" w14:textId="77777777" w:rsidR="00770D0B" w:rsidRDefault="00AB1241">
      <w:pPr>
        <w:pStyle w:val="ListParagraph"/>
        <w:numPr>
          <w:ilvl w:val="0"/>
          <w:numId w:val="2"/>
        </w:numPr>
        <w:spacing w:after="40"/>
      </w:pPr>
      <w:r>
        <w:t>Sigma Xi Emerging Scholar Award (2007)</w:t>
      </w:r>
    </w:p>
    <w:p w14:paraId="0AFC4495" w14:textId="77777777" w:rsidR="00770D0B" w:rsidRDefault="00AB1241">
      <w:pPr>
        <w:pStyle w:val="ListParagraph"/>
        <w:numPr>
          <w:ilvl w:val="0"/>
          <w:numId w:val="2"/>
        </w:numPr>
        <w:spacing w:after="40"/>
      </w:pPr>
      <w:r>
        <w:t>RIS Chair, Vitamins and Minerals Research Interest Section, American Society of Nutrition (2007–2008)</w:t>
      </w:r>
    </w:p>
    <w:p w14:paraId="0ADFAF3F" w14:textId="77777777" w:rsidR="00770D0B" w:rsidRDefault="00AB1241">
      <w:pPr>
        <w:pStyle w:val="ListParagraph"/>
        <w:numPr>
          <w:ilvl w:val="0"/>
          <w:numId w:val="2"/>
        </w:numPr>
        <w:spacing w:after="40"/>
      </w:pPr>
      <w:r>
        <w:t>Promising Scholar Faculty Excellence Award, Oregon State University (2010)</w:t>
      </w:r>
    </w:p>
    <w:p w14:paraId="4252B052" w14:textId="77777777" w:rsidR="00770D0B" w:rsidRDefault="00AB1241">
      <w:pPr>
        <w:pStyle w:val="ListParagraph"/>
        <w:numPr>
          <w:ilvl w:val="0"/>
          <w:numId w:val="2"/>
        </w:numPr>
        <w:spacing w:after="40"/>
      </w:pPr>
      <w:r>
        <w:t>Outstanding Researcher Award, Vitamins &amp; Minerals Research Interest Section, American Society of Nutrition (2012)</w:t>
      </w:r>
    </w:p>
    <w:p w14:paraId="7943089C" w14:textId="77777777" w:rsidR="00770D0B" w:rsidRDefault="00AB1241">
      <w:pPr>
        <w:pStyle w:val="ListParagraph"/>
        <w:numPr>
          <w:ilvl w:val="0"/>
          <w:numId w:val="2"/>
        </w:numPr>
        <w:spacing w:after="40"/>
      </w:pPr>
      <w:r>
        <w:t>Faculty Excellence Award, College of Public Health &amp; Human Sciences, OSU (2013)</w:t>
      </w:r>
    </w:p>
    <w:p w14:paraId="1BAE4C2C" w14:textId="77777777" w:rsidR="00770D0B" w:rsidRDefault="00AB1241">
      <w:pPr>
        <w:pStyle w:val="ListParagraph"/>
        <w:numPr>
          <w:ilvl w:val="0"/>
          <w:numId w:val="2"/>
        </w:numPr>
        <w:spacing w:after="40"/>
      </w:pPr>
      <w:r>
        <w:t>On Point Faculty of the Game, OSU Faculty Award (2014)</w:t>
      </w:r>
    </w:p>
    <w:p w14:paraId="08AD056F" w14:textId="77777777" w:rsidR="00770D0B" w:rsidRDefault="00AB1241">
      <w:pPr>
        <w:pStyle w:val="ListParagraph"/>
        <w:numPr>
          <w:ilvl w:val="0"/>
          <w:numId w:val="2"/>
        </w:numPr>
        <w:spacing w:after="40"/>
      </w:pPr>
      <w:r>
        <w:t>OSU Provost Fellow Awardee (2019–2020)</w:t>
      </w:r>
    </w:p>
    <w:p w14:paraId="70B637CE" w14:textId="77777777" w:rsidR="00770D0B" w:rsidRDefault="00AB1241">
      <w:pPr>
        <w:pStyle w:val="ListParagraph"/>
        <w:numPr>
          <w:ilvl w:val="0"/>
          <w:numId w:val="2"/>
        </w:numPr>
        <w:spacing w:after="40"/>
      </w:pPr>
      <w:r>
        <w:t>OSU Distinguished Professor of Nutrition (2023)</w:t>
      </w:r>
    </w:p>
    <w:p w14:paraId="1987DACA" w14:textId="77777777" w:rsidR="00770D0B" w:rsidRDefault="00AB1241">
      <w:pPr>
        <w:pStyle w:val="ListParagraph"/>
        <w:numPr>
          <w:ilvl w:val="0"/>
          <w:numId w:val="2"/>
        </w:numPr>
        <w:spacing w:after="40"/>
      </w:pPr>
      <w:r>
        <w:t>OSU Alumni Association Distinguished Professor Award (2023)</w:t>
      </w:r>
    </w:p>
    <w:p w14:paraId="0BE14217" w14:textId="77777777" w:rsidR="00770D0B" w:rsidRDefault="00AB1241">
      <w:pPr>
        <w:pStyle w:val="ListParagraph"/>
        <w:numPr>
          <w:ilvl w:val="0"/>
          <w:numId w:val="2"/>
        </w:numPr>
        <w:spacing w:after="40"/>
      </w:pPr>
      <w:r>
        <w:t>American Society of Nutrition – Senior Investigator Haleon Consumer Healthcare Nutritional Sciences Award (2024)</w:t>
      </w:r>
    </w:p>
    <w:p w14:paraId="5BB12380" w14:textId="77777777" w:rsidR="00770D0B" w:rsidRDefault="00AB1241">
      <w:pPr>
        <w:pStyle w:val="ListParagraph"/>
        <w:numPr>
          <w:ilvl w:val="0"/>
          <w:numId w:val="2"/>
        </w:numPr>
        <w:spacing w:after="40"/>
      </w:pPr>
      <w:r>
        <w:t>Editorial Board, Journal of Nutrition (2013–present)</w:t>
      </w:r>
    </w:p>
    <w:p w14:paraId="35ABD9B7" w14:textId="77777777" w:rsidR="00770D0B" w:rsidRDefault="00AB1241">
      <w:pPr>
        <w:pStyle w:val="ListParagraph"/>
        <w:numPr>
          <w:ilvl w:val="0"/>
          <w:numId w:val="2"/>
        </w:numPr>
        <w:spacing w:after="40"/>
      </w:pPr>
      <w:r>
        <w:t>Editorial Board, Journal of Nutritional Biochemistry (2004–present)</w:t>
      </w:r>
    </w:p>
    <w:p w14:paraId="1CCC10C2" w14:textId="77777777" w:rsidR="00770D0B" w:rsidRDefault="00AB1241">
      <w:pPr>
        <w:pStyle w:val="ListParagraph"/>
        <w:numPr>
          <w:ilvl w:val="0"/>
          <w:numId w:val="2"/>
        </w:numPr>
        <w:spacing w:after="40"/>
      </w:pPr>
      <w:r>
        <w:t>Editorial Board, Frontiers in Epigenomics (2010–present)</w:t>
      </w:r>
    </w:p>
    <w:p w14:paraId="5BAB9CB2" w14:textId="77777777" w:rsidR="00770D0B" w:rsidRDefault="00AB1241">
      <w:pPr>
        <w:pStyle w:val="Heading2"/>
        <w:pBdr>
          <w:bottom w:val="single" w:sz="6" w:space="1" w:color="D3832B"/>
        </w:pBdr>
      </w:pPr>
      <w:r>
        <w:t>Professional Affiliations</w:t>
      </w:r>
    </w:p>
    <w:p w14:paraId="61A737AC" w14:textId="77777777" w:rsidR="00770D0B" w:rsidRDefault="00AB1241">
      <w:pPr>
        <w:pStyle w:val="ListParagraph"/>
        <w:numPr>
          <w:ilvl w:val="0"/>
          <w:numId w:val="2"/>
        </w:numPr>
        <w:spacing w:after="40"/>
      </w:pPr>
      <w:r>
        <w:t>American Society for Nutrition</w:t>
      </w:r>
    </w:p>
    <w:p w14:paraId="670FA79C" w14:textId="77777777" w:rsidR="00770D0B" w:rsidRDefault="00AB1241">
      <w:pPr>
        <w:pStyle w:val="ListParagraph"/>
        <w:numPr>
          <w:ilvl w:val="0"/>
          <w:numId w:val="2"/>
        </w:numPr>
        <w:spacing w:after="40"/>
      </w:pPr>
      <w:r>
        <w:lastRenderedPageBreak/>
        <w:t>American Association for Cancer Research</w:t>
      </w:r>
    </w:p>
    <w:p w14:paraId="5E9DFB9D" w14:textId="77777777" w:rsidR="00770D0B" w:rsidRDefault="00AB1241">
      <w:pPr>
        <w:pStyle w:val="ListParagraph"/>
        <w:numPr>
          <w:ilvl w:val="0"/>
          <w:numId w:val="2"/>
        </w:numPr>
        <w:spacing w:after="40"/>
      </w:pPr>
      <w:r>
        <w:t>Phi Kappa Phi Society</w:t>
      </w:r>
    </w:p>
    <w:p w14:paraId="6DCA9E1C" w14:textId="77777777" w:rsidR="00770D0B" w:rsidRDefault="00AB1241">
      <w:pPr>
        <w:pStyle w:val="Heading2"/>
        <w:pBdr>
          <w:bottom w:val="single" w:sz="6" w:space="1" w:color="D3832B"/>
        </w:pBdr>
      </w:pPr>
      <w:r>
        <w:t>Research Support</w:t>
      </w:r>
    </w:p>
    <w:p w14:paraId="11207D7A" w14:textId="77777777" w:rsidR="00770D0B" w:rsidRDefault="00AB1241">
      <w:pPr>
        <w:pStyle w:val="Heading3"/>
      </w:pPr>
      <w:r>
        <w:t>Current Grants</w:t>
      </w:r>
    </w:p>
    <w:p w14:paraId="267A7AFA" w14:textId="77777777" w:rsidR="00770D0B" w:rsidRDefault="00770D0B">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00"/>
        <w:gridCol w:w="3200"/>
        <w:gridCol w:w="1560"/>
        <w:gridCol w:w="2800"/>
      </w:tblGrid>
      <w:tr w:rsidR="00770D0B" w14:paraId="6396722B" w14:textId="77777777">
        <w:trPr>
          <w:tblHeader/>
        </w:trPr>
        <w:tc>
          <w:tcPr>
            <w:tcW w:w="1800" w:type="dxa"/>
            <w:tcBorders>
              <w:top w:val="single" w:sz="4" w:space="0" w:color="AAAAAA"/>
              <w:left w:val="single" w:sz="4" w:space="0" w:color="AAAAAA"/>
              <w:bottom w:val="single" w:sz="4" w:space="0" w:color="AAAAAA"/>
              <w:right w:val="single" w:sz="4" w:space="0" w:color="AAAAAA"/>
            </w:tcBorders>
            <w:shd w:val="clear" w:color="auto" w:fill="E8E8E8"/>
            <w:tcMar>
              <w:top w:w="60" w:type="dxa"/>
              <w:left w:w="80" w:type="dxa"/>
              <w:bottom w:w="60" w:type="dxa"/>
              <w:right w:w="80" w:type="dxa"/>
            </w:tcMar>
          </w:tcPr>
          <w:p w14:paraId="43CC9180" w14:textId="77777777" w:rsidR="00770D0B" w:rsidRDefault="00AB1241">
            <w:r>
              <w:rPr>
                <w:b/>
                <w:bCs/>
                <w:sz w:val="18"/>
                <w:szCs w:val="18"/>
              </w:rPr>
              <w:t>Sponsor</w:t>
            </w:r>
          </w:p>
        </w:tc>
        <w:tc>
          <w:tcPr>
            <w:tcW w:w="3200" w:type="dxa"/>
            <w:tcBorders>
              <w:top w:val="single" w:sz="4" w:space="0" w:color="AAAAAA"/>
              <w:left w:val="single" w:sz="4" w:space="0" w:color="AAAAAA"/>
              <w:bottom w:val="single" w:sz="4" w:space="0" w:color="AAAAAA"/>
              <w:right w:val="single" w:sz="4" w:space="0" w:color="AAAAAA"/>
            </w:tcBorders>
            <w:shd w:val="clear" w:color="auto" w:fill="E8E8E8"/>
            <w:tcMar>
              <w:top w:w="60" w:type="dxa"/>
              <w:left w:w="80" w:type="dxa"/>
              <w:bottom w:w="60" w:type="dxa"/>
              <w:right w:w="80" w:type="dxa"/>
            </w:tcMar>
          </w:tcPr>
          <w:p w14:paraId="19F6BCAF" w14:textId="77777777" w:rsidR="00770D0B" w:rsidRDefault="00AB1241">
            <w:r>
              <w:rPr>
                <w:b/>
                <w:bCs/>
                <w:sz w:val="18"/>
                <w:szCs w:val="18"/>
              </w:rPr>
              <w:t>Project Title</w:t>
            </w:r>
          </w:p>
        </w:tc>
        <w:tc>
          <w:tcPr>
            <w:tcW w:w="1560" w:type="dxa"/>
            <w:tcBorders>
              <w:top w:val="single" w:sz="4" w:space="0" w:color="AAAAAA"/>
              <w:left w:val="single" w:sz="4" w:space="0" w:color="AAAAAA"/>
              <w:bottom w:val="single" w:sz="4" w:space="0" w:color="AAAAAA"/>
              <w:right w:val="single" w:sz="4" w:space="0" w:color="AAAAAA"/>
            </w:tcBorders>
            <w:shd w:val="clear" w:color="auto" w:fill="E8E8E8"/>
            <w:tcMar>
              <w:top w:w="60" w:type="dxa"/>
              <w:left w:w="80" w:type="dxa"/>
              <w:bottom w:w="60" w:type="dxa"/>
              <w:right w:w="80" w:type="dxa"/>
            </w:tcMar>
          </w:tcPr>
          <w:p w14:paraId="29B14F9B" w14:textId="77777777" w:rsidR="00770D0B" w:rsidRDefault="00AB1241">
            <w:r>
              <w:rPr>
                <w:b/>
                <w:bCs/>
                <w:sz w:val="18"/>
                <w:szCs w:val="18"/>
              </w:rPr>
              <w:t>Period</w:t>
            </w:r>
          </w:p>
        </w:tc>
        <w:tc>
          <w:tcPr>
            <w:tcW w:w="2800" w:type="dxa"/>
            <w:tcBorders>
              <w:top w:val="single" w:sz="4" w:space="0" w:color="AAAAAA"/>
              <w:left w:val="single" w:sz="4" w:space="0" w:color="AAAAAA"/>
              <w:bottom w:val="single" w:sz="4" w:space="0" w:color="AAAAAA"/>
              <w:right w:val="single" w:sz="4" w:space="0" w:color="AAAAAA"/>
            </w:tcBorders>
            <w:shd w:val="clear" w:color="auto" w:fill="E8E8E8"/>
            <w:tcMar>
              <w:top w:w="60" w:type="dxa"/>
              <w:left w:w="80" w:type="dxa"/>
              <w:bottom w:w="60" w:type="dxa"/>
              <w:right w:w="80" w:type="dxa"/>
            </w:tcMar>
          </w:tcPr>
          <w:p w14:paraId="1247B278" w14:textId="77777777" w:rsidR="00770D0B" w:rsidRDefault="00AB1241">
            <w:r>
              <w:rPr>
                <w:b/>
                <w:bCs/>
                <w:sz w:val="18"/>
                <w:szCs w:val="18"/>
              </w:rPr>
              <w:t>Total Award</w:t>
            </w:r>
          </w:p>
        </w:tc>
      </w:tr>
      <w:tr w:rsidR="00770D0B" w14:paraId="53033053" w14:textId="77777777">
        <w:tc>
          <w:tcPr>
            <w:tcW w:w="18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DA6CDE4" w14:textId="77777777" w:rsidR="00770D0B" w:rsidRDefault="00AB1241">
            <w:r>
              <w:rPr>
                <w:sz w:val="18"/>
                <w:szCs w:val="18"/>
              </w:rPr>
              <w:t>California Walnut Commission</w:t>
            </w:r>
          </w:p>
        </w:tc>
        <w:tc>
          <w:tcPr>
            <w:tcW w:w="32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3355762" w14:textId="77777777" w:rsidR="00770D0B" w:rsidRDefault="00AB1241">
            <w:r>
              <w:rPr>
                <w:sz w:val="18"/>
                <w:szCs w:val="18"/>
              </w:rPr>
              <w:t>Walnuts in age-related cognitive function</w:t>
            </w:r>
          </w:p>
        </w:tc>
        <w:tc>
          <w:tcPr>
            <w:tcW w:w="15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5065FCE1" w14:textId="77777777" w:rsidR="00770D0B" w:rsidRDefault="00AB1241">
            <w:r>
              <w:rPr>
                <w:sz w:val="18"/>
                <w:szCs w:val="18"/>
              </w:rPr>
              <w:t>03/01/25–02/2027</w:t>
            </w:r>
          </w:p>
        </w:tc>
        <w:tc>
          <w:tcPr>
            <w:tcW w:w="28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3A31901" w14:textId="77777777" w:rsidR="00770D0B" w:rsidRDefault="00AB1241">
            <w:r>
              <w:rPr>
                <w:sz w:val="18"/>
                <w:szCs w:val="18"/>
              </w:rPr>
              <w:t>$513,650</w:t>
            </w:r>
          </w:p>
        </w:tc>
      </w:tr>
      <w:tr w:rsidR="00770D0B" w14:paraId="7F5C39A4" w14:textId="77777777">
        <w:tc>
          <w:tcPr>
            <w:tcW w:w="18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C61CED2" w14:textId="77777777" w:rsidR="00770D0B" w:rsidRDefault="00AB1241">
            <w:r>
              <w:rPr>
                <w:sz w:val="18"/>
                <w:szCs w:val="18"/>
              </w:rPr>
              <w:t>Almond Board of California</w:t>
            </w:r>
          </w:p>
        </w:tc>
        <w:tc>
          <w:tcPr>
            <w:tcW w:w="32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F4832FF" w14:textId="77777777" w:rsidR="00770D0B" w:rsidRDefault="00AB1241">
            <w:r>
              <w:rPr>
                <w:sz w:val="18"/>
                <w:szCs w:val="18"/>
              </w:rPr>
              <w:t>Almonds to improve metabolic syndrome health outcomes through improved microbiome, oxylipin and immune health profiles (Ho and Beaver, MPI)</w:t>
            </w:r>
          </w:p>
        </w:tc>
        <w:tc>
          <w:tcPr>
            <w:tcW w:w="15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5FD918E8" w14:textId="77777777" w:rsidR="00770D0B" w:rsidRDefault="00AB1241">
            <w:r>
              <w:rPr>
                <w:sz w:val="18"/>
                <w:szCs w:val="18"/>
              </w:rPr>
              <w:t>08/01/24–07/31/26</w:t>
            </w:r>
          </w:p>
        </w:tc>
        <w:tc>
          <w:tcPr>
            <w:tcW w:w="28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69D65EF" w14:textId="77777777" w:rsidR="00770D0B" w:rsidRDefault="00AB1241">
            <w:r>
              <w:rPr>
                <w:sz w:val="18"/>
                <w:szCs w:val="18"/>
              </w:rPr>
              <w:t>$249,584</w:t>
            </w:r>
          </w:p>
        </w:tc>
      </w:tr>
      <w:tr w:rsidR="00770D0B" w14:paraId="2B5F01DD" w14:textId="77777777">
        <w:tc>
          <w:tcPr>
            <w:tcW w:w="18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01C5526" w14:textId="77777777" w:rsidR="00770D0B" w:rsidRDefault="00AB1241">
            <w:r>
              <w:rPr>
                <w:sz w:val="18"/>
                <w:szCs w:val="18"/>
              </w:rPr>
              <w:t>OSU Foundation – Valley Charitable Foundation</w:t>
            </w:r>
          </w:p>
        </w:tc>
        <w:tc>
          <w:tcPr>
            <w:tcW w:w="32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9FB3CFE" w14:textId="77777777" w:rsidR="00770D0B" w:rsidRDefault="00AB1241">
            <w:r>
              <w:rPr>
                <w:sz w:val="18"/>
                <w:szCs w:val="18"/>
              </w:rPr>
              <w:t>Wildfire smoke and Health (Ho and Rohlman, MPI)</w:t>
            </w:r>
          </w:p>
        </w:tc>
        <w:tc>
          <w:tcPr>
            <w:tcW w:w="15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65F99DE" w14:textId="77777777" w:rsidR="00770D0B" w:rsidRDefault="00AB1241">
            <w:r>
              <w:rPr>
                <w:sz w:val="18"/>
                <w:szCs w:val="18"/>
              </w:rPr>
              <w:t>07/01/25–12/31/26</w:t>
            </w:r>
          </w:p>
        </w:tc>
        <w:tc>
          <w:tcPr>
            <w:tcW w:w="28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C9E98F7" w14:textId="77777777" w:rsidR="00770D0B" w:rsidRDefault="00AB1241">
            <w:r>
              <w:rPr>
                <w:sz w:val="18"/>
                <w:szCs w:val="18"/>
              </w:rPr>
              <w:t>$150,000</w:t>
            </w:r>
          </w:p>
        </w:tc>
      </w:tr>
      <w:tr w:rsidR="00770D0B" w14:paraId="0EF43C8F" w14:textId="77777777">
        <w:tc>
          <w:tcPr>
            <w:tcW w:w="18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6D755B8" w14:textId="77777777" w:rsidR="00770D0B" w:rsidRDefault="00AB1241">
            <w:r>
              <w:rPr>
                <w:sz w:val="18"/>
                <w:szCs w:val="18"/>
              </w:rPr>
              <w:t>NIFA/USDA-2020-67001-31214 (transferred from NIH)</w:t>
            </w:r>
          </w:p>
        </w:tc>
        <w:tc>
          <w:tcPr>
            <w:tcW w:w="32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E007D43" w14:textId="77777777" w:rsidR="00770D0B" w:rsidRDefault="00AB1241">
            <w:r>
              <w:rPr>
                <w:sz w:val="18"/>
                <w:szCs w:val="18"/>
              </w:rPr>
              <w:t>Discovery of Biological Signatures for Cruciferous Vegetable Intake: Integration of the Broccoli- and Host-derived Metabolome and the Microbiome (Ho (contact PI) and Stevens, Co-PIs)</w:t>
            </w:r>
          </w:p>
        </w:tc>
        <w:tc>
          <w:tcPr>
            <w:tcW w:w="15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3D25246" w14:textId="77777777" w:rsidR="00770D0B" w:rsidRDefault="00AB1241">
            <w:r>
              <w:rPr>
                <w:sz w:val="18"/>
                <w:szCs w:val="18"/>
              </w:rPr>
              <w:t>06/01/20–05/31/26 (no cost extension)</w:t>
            </w:r>
          </w:p>
        </w:tc>
        <w:tc>
          <w:tcPr>
            <w:tcW w:w="28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6AB2697" w14:textId="77777777" w:rsidR="00770D0B" w:rsidRDefault="00AB1241">
            <w:r>
              <w:rPr>
                <w:sz w:val="18"/>
                <w:szCs w:val="18"/>
              </w:rPr>
              <w:t>$2,293,793 (5 years)</w:t>
            </w:r>
          </w:p>
        </w:tc>
      </w:tr>
      <w:tr w:rsidR="00770D0B" w14:paraId="652BA2F3" w14:textId="77777777">
        <w:tc>
          <w:tcPr>
            <w:tcW w:w="18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AC3FB49" w14:textId="77777777" w:rsidR="00770D0B" w:rsidRDefault="00AB1241">
            <w:r>
              <w:rPr>
                <w:sz w:val="18"/>
                <w:szCs w:val="18"/>
              </w:rPr>
              <w:t>NIEHS/NIH P30 ES030287 (renewal pending)</w:t>
            </w:r>
          </w:p>
        </w:tc>
        <w:tc>
          <w:tcPr>
            <w:tcW w:w="32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5B8C0858" w14:textId="77777777" w:rsidR="00770D0B" w:rsidRDefault="00AB1241">
            <w:r>
              <w:rPr>
                <w:sz w:val="18"/>
                <w:szCs w:val="18"/>
              </w:rPr>
              <w:t>Environmental Health Sciences Center (P30) Deputy Director and Integrative Health Sciences Facility Core leader</w:t>
            </w:r>
          </w:p>
        </w:tc>
        <w:tc>
          <w:tcPr>
            <w:tcW w:w="15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628F63B" w14:textId="77777777" w:rsidR="00770D0B" w:rsidRDefault="00AB1241">
            <w:r>
              <w:rPr>
                <w:sz w:val="18"/>
                <w:szCs w:val="18"/>
              </w:rPr>
              <w:t>04/01/20–03/31/26</w:t>
            </w:r>
          </w:p>
        </w:tc>
        <w:tc>
          <w:tcPr>
            <w:tcW w:w="28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C7AFC3F" w14:textId="77777777" w:rsidR="00770D0B" w:rsidRDefault="00AB1241">
            <w:r>
              <w:rPr>
                <w:sz w:val="18"/>
                <w:szCs w:val="18"/>
              </w:rPr>
              <w:t>$5,259,240 (funded extension)</w:t>
            </w:r>
          </w:p>
        </w:tc>
      </w:tr>
      <w:tr w:rsidR="00770D0B" w14:paraId="7907BED9" w14:textId="77777777">
        <w:tc>
          <w:tcPr>
            <w:tcW w:w="18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5617289B" w14:textId="77777777" w:rsidR="00770D0B" w:rsidRDefault="00AB1241">
            <w:r>
              <w:rPr>
                <w:sz w:val="18"/>
                <w:szCs w:val="18"/>
              </w:rPr>
              <w:t>OSU Foundation (private anonymous donor)</w:t>
            </w:r>
          </w:p>
        </w:tc>
        <w:tc>
          <w:tcPr>
            <w:tcW w:w="32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517DA477" w14:textId="77777777" w:rsidR="00770D0B" w:rsidRDefault="00AB1241">
            <w:r>
              <w:rPr>
                <w:sz w:val="18"/>
                <w:szCs w:val="18"/>
              </w:rPr>
              <w:t>Cancer Prevention Research Fund</w:t>
            </w:r>
          </w:p>
        </w:tc>
        <w:tc>
          <w:tcPr>
            <w:tcW w:w="15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5C1B411F" w14:textId="77777777" w:rsidR="00770D0B" w:rsidRDefault="00AB1241">
            <w:r>
              <w:rPr>
                <w:sz w:val="18"/>
                <w:szCs w:val="18"/>
              </w:rPr>
              <w:t>01/01/17–present</w:t>
            </w:r>
          </w:p>
        </w:tc>
        <w:tc>
          <w:tcPr>
            <w:tcW w:w="28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C9E1E93" w14:textId="77777777" w:rsidR="00770D0B" w:rsidRDefault="00AB1241">
            <w:r>
              <w:rPr>
                <w:sz w:val="18"/>
                <w:szCs w:val="18"/>
              </w:rPr>
              <w:t>$180,000</w:t>
            </w:r>
          </w:p>
        </w:tc>
      </w:tr>
    </w:tbl>
    <w:p w14:paraId="393175AE" w14:textId="77777777" w:rsidR="00770D0B" w:rsidRDefault="00770D0B">
      <w:pPr>
        <w:spacing w:after="120"/>
      </w:pPr>
    </w:p>
    <w:p w14:paraId="397C6EF3" w14:textId="77777777" w:rsidR="00770D0B" w:rsidRDefault="00AB1241">
      <w:pPr>
        <w:pStyle w:val="Heading3"/>
      </w:pPr>
      <w:r>
        <w:t>Completed Grants (Selected)</w:t>
      </w:r>
    </w:p>
    <w:p w14:paraId="75B938D7" w14:textId="77777777" w:rsidR="00770D0B" w:rsidRDefault="00770D0B">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00"/>
        <w:gridCol w:w="3200"/>
        <w:gridCol w:w="1560"/>
        <w:gridCol w:w="2800"/>
      </w:tblGrid>
      <w:tr w:rsidR="00770D0B" w14:paraId="336AA9A6" w14:textId="77777777">
        <w:trPr>
          <w:tblHeader/>
        </w:trPr>
        <w:tc>
          <w:tcPr>
            <w:tcW w:w="1800" w:type="dxa"/>
            <w:tcBorders>
              <w:top w:val="single" w:sz="4" w:space="0" w:color="AAAAAA"/>
              <w:left w:val="single" w:sz="4" w:space="0" w:color="AAAAAA"/>
              <w:bottom w:val="single" w:sz="4" w:space="0" w:color="AAAAAA"/>
              <w:right w:val="single" w:sz="4" w:space="0" w:color="AAAAAA"/>
            </w:tcBorders>
            <w:shd w:val="clear" w:color="auto" w:fill="E8E8E8"/>
            <w:tcMar>
              <w:top w:w="60" w:type="dxa"/>
              <w:left w:w="80" w:type="dxa"/>
              <w:bottom w:w="60" w:type="dxa"/>
              <w:right w:w="80" w:type="dxa"/>
            </w:tcMar>
          </w:tcPr>
          <w:p w14:paraId="5DC684C4" w14:textId="77777777" w:rsidR="00770D0B" w:rsidRDefault="00AB1241">
            <w:r>
              <w:rPr>
                <w:b/>
                <w:bCs/>
                <w:sz w:val="18"/>
                <w:szCs w:val="18"/>
              </w:rPr>
              <w:t>Sponsor</w:t>
            </w:r>
          </w:p>
        </w:tc>
        <w:tc>
          <w:tcPr>
            <w:tcW w:w="3200" w:type="dxa"/>
            <w:tcBorders>
              <w:top w:val="single" w:sz="4" w:space="0" w:color="AAAAAA"/>
              <w:left w:val="single" w:sz="4" w:space="0" w:color="AAAAAA"/>
              <w:bottom w:val="single" w:sz="4" w:space="0" w:color="AAAAAA"/>
              <w:right w:val="single" w:sz="4" w:space="0" w:color="AAAAAA"/>
            </w:tcBorders>
            <w:shd w:val="clear" w:color="auto" w:fill="E8E8E8"/>
            <w:tcMar>
              <w:top w:w="60" w:type="dxa"/>
              <w:left w:w="80" w:type="dxa"/>
              <w:bottom w:w="60" w:type="dxa"/>
              <w:right w:w="80" w:type="dxa"/>
            </w:tcMar>
          </w:tcPr>
          <w:p w14:paraId="23E04C5D" w14:textId="77777777" w:rsidR="00770D0B" w:rsidRDefault="00AB1241">
            <w:r>
              <w:rPr>
                <w:b/>
                <w:bCs/>
                <w:sz w:val="18"/>
                <w:szCs w:val="18"/>
              </w:rPr>
              <w:t>Project Title</w:t>
            </w:r>
          </w:p>
        </w:tc>
        <w:tc>
          <w:tcPr>
            <w:tcW w:w="1560" w:type="dxa"/>
            <w:tcBorders>
              <w:top w:val="single" w:sz="4" w:space="0" w:color="AAAAAA"/>
              <w:left w:val="single" w:sz="4" w:space="0" w:color="AAAAAA"/>
              <w:bottom w:val="single" w:sz="4" w:space="0" w:color="AAAAAA"/>
              <w:right w:val="single" w:sz="4" w:space="0" w:color="AAAAAA"/>
            </w:tcBorders>
            <w:shd w:val="clear" w:color="auto" w:fill="E8E8E8"/>
            <w:tcMar>
              <w:top w:w="60" w:type="dxa"/>
              <w:left w:w="80" w:type="dxa"/>
              <w:bottom w:w="60" w:type="dxa"/>
              <w:right w:w="80" w:type="dxa"/>
            </w:tcMar>
          </w:tcPr>
          <w:p w14:paraId="6EDE5A9B" w14:textId="77777777" w:rsidR="00770D0B" w:rsidRDefault="00AB1241">
            <w:r>
              <w:rPr>
                <w:b/>
                <w:bCs/>
                <w:sz w:val="18"/>
                <w:szCs w:val="18"/>
              </w:rPr>
              <w:t>Period</w:t>
            </w:r>
          </w:p>
        </w:tc>
        <w:tc>
          <w:tcPr>
            <w:tcW w:w="2800" w:type="dxa"/>
            <w:tcBorders>
              <w:top w:val="single" w:sz="4" w:space="0" w:color="AAAAAA"/>
              <w:left w:val="single" w:sz="4" w:space="0" w:color="AAAAAA"/>
              <w:bottom w:val="single" w:sz="4" w:space="0" w:color="AAAAAA"/>
              <w:right w:val="single" w:sz="4" w:space="0" w:color="AAAAAA"/>
            </w:tcBorders>
            <w:shd w:val="clear" w:color="auto" w:fill="E8E8E8"/>
            <w:tcMar>
              <w:top w:w="60" w:type="dxa"/>
              <w:left w:w="80" w:type="dxa"/>
              <w:bottom w:w="60" w:type="dxa"/>
              <w:right w:w="80" w:type="dxa"/>
            </w:tcMar>
          </w:tcPr>
          <w:p w14:paraId="6346EFCE" w14:textId="77777777" w:rsidR="00770D0B" w:rsidRDefault="00AB1241">
            <w:r>
              <w:rPr>
                <w:b/>
                <w:bCs/>
                <w:sz w:val="18"/>
                <w:szCs w:val="18"/>
              </w:rPr>
              <w:t>Total Award</w:t>
            </w:r>
          </w:p>
        </w:tc>
      </w:tr>
      <w:tr w:rsidR="00770D0B" w14:paraId="31F0DAD1" w14:textId="77777777">
        <w:tc>
          <w:tcPr>
            <w:tcW w:w="18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DFB09CB" w14:textId="77777777" w:rsidR="00770D0B" w:rsidRDefault="00AB1241">
            <w:r>
              <w:rPr>
                <w:sz w:val="18"/>
                <w:szCs w:val="18"/>
              </w:rPr>
              <w:t>Allen Foundation</w:t>
            </w:r>
          </w:p>
        </w:tc>
        <w:tc>
          <w:tcPr>
            <w:tcW w:w="32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2B364F9" w14:textId="77777777" w:rsidR="00770D0B" w:rsidRDefault="00AB1241">
            <w:r>
              <w:rPr>
                <w:sz w:val="18"/>
                <w:szCs w:val="18"/>
              </w:rPr>
              <w:t>Hope Grows Here: Mentored Gardening and Nutrition Education for Cancer Survivors (Ho, PI)</w:t>
            </w:r>
          </w:p>
        </w:tc>
        <w:tc>
          <w:tcPr>
            <w:tcW w:w="15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7356F15" w14:textId="77777777" w:rsidR="00770D0B" w:rsidRDefault="00AB1241">
            <w:r>
              <w:rPr>
                <w:sz w:val="18"/>
                <w:szCs w:val="18"/>
              </w:rPr>
              <w:t>07/01/22–06/30/24</w:t>
            </w:r>
          </w:p>
        </w:tc>
        <w:tc>
          <w:tcPr>
            <w:tcW w:w="28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57F37589" w14:textId="77777777" w:rsidR="00770D0B" w:rsidRDefault="00AB1241">
            <w:r>
              <w:rPr>
                <w:sz w:val="18"/>
                <w:szCs w:val="18"/>
              </w:rPr>
              <w:t>$100,000</w:t>
            </w:r>
          </w:p>
        </w:tc>
      </w:tr>
      <w:tr w:rsidR="00770D0B" w14:paraId="3A50499F" w14:textId="77777777">
        <w:tc>
          <w:tcPr>
            <w:tcW w:w="18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00759CC" w14:textId="77777777" w:rsidR="00770D0B" w:rsidRDefault="00AB1241">
            <w:r>
              <w:rPr>
                <w:sz w:val="18"/>
                <w:szCs w:val="18"/>
              </w:rPr>
              <w:t>Almond Board of California</w:t>
            </w:r>
          </w:p>
        </w:tc>
        <w:tc>
          <w:tcPr>
            <w:tcW w:w="32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50CA0BB" w14:textId="77777777" w:rsidR="00770D0B" w:rsidRDefault="00AB1241">
            <w:r>
              <w:rPr>
                <w:sz w:val="18"/>
                <w:szCs w:val="18"/>
              </w:rPr>
              <w:t>Almonds to improve gut health and decrease inflammation in metabolic syndrome</w:t>
            </w:r>
          </w:p>
        </w:tc>
        <w:tc>
          <w:tcPr>
            <w:tcW w:w="15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07EF390" w14:textId="77777777" w:rsidR="00770D0B" w:rsidRDefault="00AB1241">
            <w:r>
              <w:rPr>
                <w:sz w:val="18"/>
                <w:szCs w:val="18"/>
              </w:rPr>
              <w:t>07/01/22–06/30/24</w:t>
            </w:r>
          </w:p>
        </w:tc>
        <w:tc>
          <w:tcPr>
            <w:tcW w:w="28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152A351" w14:textId="77777777" w:rsidR="00770D0B" w:rsidRDefault="00AB1241">
            <w:r>
              <w:rPr>
                <w:sz w:val="18"/>
                <w:szCs w:val="18"/>
              </w:rPr>
              <w:t>$499,991</w:t>
            </w:r>
          </w:p>
        </w:tc>
      </w:tr>
      <w:tr w:rsidR="00770D0B" w14:paraId="2411A42B" w14:textId="77777777">
        <w:tc>
          <w:tcPr>
            <w:tcW w:w="18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5252185" w14:textId="77777777" w:rsidR="00770D0B" w:rsidRDefault="00AB1241">
            <w:r>
              <w:rPr>
                <w:sz w:val="18"/>
                <w:szCs w:val="18"/>
              </w:rPr>
              <w:t>NCCIH/NIH-R01AT010271-01</w:t>
            </w:r>
          </w:p>
        </w:tc>
        <w:tc>
          <w:tcPr>
            <w:tcW w:w="32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C83AD1A" w14:textId="77777777" w:rsidR="00770D0B" w:rsidRDefault="00AB1241">
            <w:r>
              <w:rPr>
                <w:sz w:val="18"/>
                <w:szCs w:val="18"/>
              </w:rPr>
              <w:t>Discovery and Biological Signatures of Microbiome-Derived Xanthohumol Metabolites and their Role in Ameliorating Inflammatory Bowel Disease</w:t>
            </w:r>
          </w:p>
        </w:tc>
        <w:tc>
          <w:tcPr>
            <w:tcW w:w="15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294AAB8" w14:textId="77777777" w:rsidR="00770D0B" w:rsidRDefault="00AB1241">
            <w:r>
              <w:rPr>
                <w:sz w:val="18"/>
                <w:szCs w:val="18"/>
              </w:rPr>
              <w:t>10/1/18–9/30/23</w:t>
            </w:r>
          </w:p>
        </w:tc>
        <w:tc>
          <w:tcPr>
            <w:tcW w:w="28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C661A73" w14:textId="77777777" w:rsidR="00770D0B" w:rsidRDefault="00AB1241">
            <w:r>
              <w:rPr>
                <w:sz w:val="18"/>
                <w:szCs w:val="18"/>
              </w:rPr>
              <w:t>$1,584,264</w:t>
            </w:r>
          </w:p>
        </w:tc>
      </w:tr>
      <w:tr w:rsidR="00770D0B" w14:paraId="2CC6FD81" w14:textId="77777777">
        <w:tc>
          <w:tcPr>
            <w:tcW w:w="18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53D3B8CC" w14:textId="77777777" w:rsidR="00770D0B" w:rsidRDefault="00AB1241">
            <w:r>
              <w:rPr>
                <w:sz w:val="18"/>
                <w:szCs w:val="18"/>
              </w:rPr>
              <w:t>National Cancer Institute (NCI/NIH)</w:t>
            </w:r>
          </w:p>
        </w:tc>
        <w:tc>
          <w:tcPr>
            <w:tcW w:w="32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C654645" w14:textId="77777777" w:rsidR="00770D0B" w:rsidRDefault="00AB1241">
            <w:r>
              <w:rPr>
                <w:sz w:val="18"/>
                <w:szCs w:val="18"/>
              </w:rPr>
              <w:t>P01-CA90890: Comparative mechanisms of chemoprevention</w:t>
            </w:r>
          </w:p>
        </w:tc>
        <w:tc>
          <w:tcPr>
            <w:tcW w:w="15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5445AEF0" w14:textId="77777777" w:rsidR="00770D0B" w:rsidRDefault="00AB1241">
            <w:r>
              <w:rPr>
                <w:sz w:val="18"/>
                <w:szCs w:val="18"/>
              </w:rPr>
              <w:t>04/01/10–03/31/17</w:t>
            </w:r>
          </w:p>
        </w:tc>
        <w:tc>
          <w:tcPr>
            <w:tcW w:w="28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055205B" w14:textId="77777777" w:rsidR="00770D0B" w:rsidRDefault="00AB1241">
            <w:r>
              <w:rPr>
                <w:sz w:val="18"/>
                <w:szCs w:val="18"/>
              </w:rPr>
              <w:t>$8,160,297</w:t>
            </w:r>
          </w:p>
        </w:tc>
      </w:tr>
      <w:tr w:rsidR="00770D0B" w14:paraId="15DF1C23" w14:textId="77777777">
        <w:tc>
          <w:tcPr>
            <w:tcW w:w="18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8F80B69" w14:textId="77777777" w:rsidR="00770D0B" w:rsidRDefault="00AB1241">
            <w:r>
              <w:rPr>
                <w:sz w:val="18"/>
                <w:szCs w:val="18"/>
              </w:rPr>
              <w:t>National Cancer Institute (NCI/NIH)</w:t>
            </w:r>
          </w:p>
        </w:tc>
        <w:tc>
          <w:tcPr>
            <w:tcW w:w="32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EDABB46" w14:textId="77777777" w:rsidR="00770D0B" w:rsidRDefault="00AB1241">
            <w:r>
              <w:rPr>
                <w:sz w:val="18"/>
                <w:szCs w:val="18"/>
              </w:rPr>
              <w:t>RO1 CA-122906: Dietary HDAC inhibitors in prostate cancer prevention (Ho, PI)</w:t>
            </w:r>
          </w:p>
        </w:tc>
        <w:tc>
          <w:tcPr>
            <w:tcW w:w="15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84F3721" w14:textId="77777777" w:rsidR="00770D0B" w:rsidRDefault="00AB1241">
            <w:r>
              <w:rPr>
                <w:sz w:val="18"/>
                <w:szCs w:val="18"/>
              </w:rPr>
              <w:t>03/01/07–02/28/13</w:t>
            </w:r>
          </w:p>
        </w:tc>
        <w:tc>
          <w:tcPr>
            <w:tcW w:w="28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202F0DD" w14:textId="77777777" w:rsidR="00770D0B" w:rsidRDefault="00AB1241">
            <w:r>
              <w:rPr>
                <w:sz w:val="18"/>
                <w:szCs w:val="18"/>
              </w:rPr>
              <w:t>$1,456,511 direct</w:t>
            </w:r>
          </w:p>
        </w:tc>
      </w:tr>
      <w:tr w:rsidR="00770D0B" w14:paraId="2441C99A" w14:textId="77777777">
        <w:tc>
          <w:tcPr>
            <w:tcW w:w="18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B4739FE" w14:textId="77777777" w:rsidR="00770D0B" w:rsidRDefault="00AB1241">
            <w:r>
              <w:rPr>
                <w:sz w:val="18"/>
                <w:szCs w:val="18"/>
              </w:rPr>
              <w:lastRenderedPageBreak/>
              <w:t>National Cancer Institute (NCI/NIH)</w:t>
            </w:r>
          </w:p>
        </w:tc>
        <w:tc>
          <w:tcPr>
            <w:tcW w:w="32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6887F7E" w14:textId="77777777" w:rsidR="00770D0B" w:rsidRDefault="00AB1241">
            <w:r>
              <w:rPr>
                <w:sz w:val="18"/>
                <w:szCs w:val="18"/>
              </w:rPr>
              <w:t>R01 CA107693: Diet, Endocrine-Immune Interactions &amp; Prostate Cancer (Bray-PI, Ho co-PI)</w:t>
            </w:r>
          </w:p>
        </w:tc>
        <w:tc>
          <w:tcPr>
            <w:tcW w:w="15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D8FE3C9" w14:textId="77777777" w:rsidR="00770D0B" w:rsidRDefault="00AB1241">
            <w:r>
              <w:rPr>
                <w:sz w:val="18"/>
                <w:szCs w:val="18"/>
              </w:rPr>
              <w:t>06/01/04–05/31/09</w:t>
            </w:r>
          </w:p>
        </w:tc>
        <w:tc>
          <w:tcPr>
            <w:tcW w:w="28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42255C9" w14:textId="77777777" w:rsidR="00770D0B" w:rsidRDefault="00AB1241">
            <w:r>
              <w:rPr>
                <w:sz w:val="18"/>
                <w:szCs w:val="18"/>
              </w:rPr>
              <w:t>$1,035,815 direct</w:t>
            </w:r>
          </w:p>
        </w:tc>
      </w:tr>
      <w:tr w:rsidR="00770D0B" w14:paraId="5B297EFA" w14:textId="77777777">
        <w:tc>
          <w:tcPr>
            <w:tcW w:w="18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ADFDAA9" w14:textId="77777777" w:rsidR="00770D0B" w:rsidRDefault="00AB1241">
            <w:r>
              <w:rPr>
                <w:sz w:val="18"/>
                <w:szCs w:val="18"/>
              </w:rPr>
              <w:t>USDA-NRI #2004-01859</w:t>
            </w:r>
          </w:p>
        </w:tc>
        <w:tc>
          <w:tcPr>
            <w:tcW w:w="32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8D44456" w14:textId="77777777" w:rsidR="00770D0B" w:rsidRDefault="00AB1241">
            <w:r>
              <w:rPr>
                <w:sz w:val="18"/>
                <w:szCs w:val="18"/>
              </w:rPr>
              <w:t>Zinc, gene expression and DNA damage (Ho, PI)</w:t>
            </w:r>
          </w:p>
        </w:tc>
        <w:tc>
          <w:tcPr>
            <w:tcW w:w="15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24E60E6" w14:textId="77777777" w:rsidR="00770D0B" w:rsidRDefault="00AB1241">
            <w:r>
              <w:rPr>
                <w:sz w:val="18"/>
                <w:szCs w:val="18"/>
              </w:rPr>
              <w:t>06/01/05–5/31/08</w:t>
            </w:r>
          </w:p>
        </w:tc>
        <w:tc>
          <w:tcPr>
            <w:tcW w:w="280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3E8203C" w14:textId="77777777" w:rsidR="00770D0B" w:rsidRDefault="00AB1241">
            <w:r>
              <w:rPr>
                <w:sz w:val="18"/>
                <w:szCs w:val="18"/>
              </w:rPr>
              <w:t>$213,708</w:t>
            </w:r>
          </w:p>
        </w:tc>
      </w:tr>
    </w:tbl>
    <w:p w14:paraId="61F92D36" w14:textId="77777777" w:rsidR="00770D0B" w:rsidRDefault="00770D0B">
      <w:pPr>
        <w:spacing w:after="80"/>
      </w:pPr>
    </w:p>
    <w:p w14:paraId="2F485C24" w14:textId="77777777" w:rsidR="00770D0B" w:rsidRDefault="00AB1241">
      <w:pPr>
        <w:pStyle w:val="Heading2"/>
        <w:pBdr>
          <w:bottom w:val="single" w:sz="6" w:space="1" w:color="D3832B"/>
        </w:pBdr>
      </w:pPr>
      <w:r>
        <w:t>Peer-Reviewed Publications</w:t>
      </w:r>
    </w:p>
    <w:p w14:paraId="06039DA9" w14:textId="77777777" w:rsidR="00770D0B" w:rsidRDefault="00AB1241">
      <w:pPr>
        <w:spacing w:after="80"/>
      </w:pPr>
      <w:r>
        <w:rPr>
          <w:i/>
          <w:iCs/>
          <w:sz w:val="20"/>
          <w:szCs w:val="20"/>
        </w:rPr>
        <w:t>Note: + denotes graduate student or postdoctoral author; * denotes undergraduate student author. Selected publications shown below. For a complete list, please contact the author.</w:t>
      </w:r>
    </w:p>
    <w:p w14:paraId="53C401EF" w14:textId="77777777" w:rsidR="00770D0B" w:rsidRDefault="00AB1241">
      <w:pPr>
        <w:pStyle w:val="Heading3"/>
      </w:pPr>
      <w:r>
        <w:t>Recent Publications (2021–2025)</w:t>
      </w:r>
    </w:p>
    <w:p w14:paraId="218B07BE" w14:textId="77777777" w:rsidR="00770D0B" w:rsidRDefault="00AB1241">
      <w:pPr>
        <w:pStyle w:val="ListParagraph"/>
        <w:numPr>
          <w:ilvl w:val="0"/>
          <w:numId w:val="3"/>
        </w:numPr>
        <w:spacing w:after="60"/>
      </w:pPr>
      <w:r>
        <w:rPr>
          <w:sz w:val="20"/>
          <w:szCs w:val="20"/>
        </w:rPr>
        <w:t>Ho E, Wong CP, King JC. Impact of zinc on DNA integrity and age-related inflammation. Free Radic Biol Med. 2022 Jan;178:391-397.</w:t>
      </w:r>
    </w:p>
    <w:p w14:paraId="6DB4B64C" w14:textId="77777777" w:rsidR="00770D0B" w:rsidRDefault="00AB1241">
      <w:pPr>
        <w:pStyle w:val="ListParagraph"/>
        <w:numPr>
          <w:ilvl w:val="0"/>
          <w:numId w:val="3"/>
        </w:numPr>
        <w:spacing w:after="60"/>
      </w:pPr>
      <w:r>
        <w:rPr>
          <w:sz w:val="20"/>
          <w:szCs w:val="20"/>
        </w:rPr>
        <w:t>Bauman JE, Hsu CH, Centuori S, et al., Ho E. Randomized Crossover Trial Evaluating Detoxification of Tobacco Carcinogens by Broccoli Seed and Sprout Extract in Current Smokers. Cancers. 2022;14(9):2129.</w:t>
      </w:r>
    </w:p>
    <w:p w14:paraId="48C27D3E" w14:textId="77777777" w:rsidR="00770D0B" w:rsidRDefault="00AB1241">
      <w:pPr>
        <w:pStyle w:val="ListParagraph"/>
        <w:numPr>
          <w:ilvl w:val="0"/>
          <w:numId w:val="3"/>
        </w:numPr>
        <w:spacing w:after="60"/>
      </w:pPr>
      <w:r>
        <w:rPr>
          <w:sz w:val="20"/>
          <w:szCs w:val="20"/>
        </w:rPr>
        <w:t>Eggersdorfer M, Berger MM, Calder PC, Gombart AF, Ho E, et al. Perspective: Role of Micronutrients and Omega-3 Long-Chain Polyunsaturated Fatty Acids for Immune Outcomes in Older Adults. Adv Nutr. 2022;13(5):1415-1430.</w:t>
      </w:r>
    </w:p>
    <w:p w14:paraId="684B8245" w14:textId="77777777" w:rsidR="00770D0B" w:rsidRDefault="00AB1241">
      <w:pPr>
        <w:pStyle w:val="ListParagraph"/>
        <w:numPr>
          <w:ilvl w:val="0"/>
          <w:numId w:val="3"/>
        </w:numPr>
        <w:spacing w:after="60"/>
      </w:pPr>
      <w:r>
        <w:rPr>
          <w:sz w:val="20"/>
          <w:szCs w:val="20"/>
        </w:rPr>
        <w:t>Lee BY, Ordovas JM, Parks EJ, … Ho E, et al. Research gaps and opportunities in precision nutrition: an NIH workshop report. Am J Clin Nutr. 2022;116(6):1877-1900.</w:t>
      </w:r>
    </w:p>
    <w:p w14:paraId="33D18D99" w14:textId="77777777" w:rsidR="00770D0B" w:rsidRDefault="00AB1241">
      <w:pPr>
        <w:pStyle w:val="ListParagraph"/>
        <w:numPr>
          <w:ilvl w:val="0"/>
          <w:numId w:val="3"/>
        </w:numPr>
        <w:spacing w:after="60"/>
      </w:pPr>
      <w:r>
        <w:rPr>
          <w:sz w:val="20"/>
          <w:szCs w:val="20"/>
        </w:rPr>
        <w:t>Davis EW, Wong CP, Arnold HK, Kasschau K, Gaulke CA, Sharpton TJ, Ho E. Age and micronutrient effects on the microbiome in a mouse model of zinc depletion and supplementation. PLOS ONE. 2022;17(12):e0275352.</w:t>
      </w:r>
    </w:p>
    <w:p w14:paraId="0931FC14" w14:textId="77777777" w:rsidR="00770D0B" w:rsidRDefault="00AB1241">
      <w:pPr>
        <w:pStyle w:val="ListParagraph"/>
        <w:numPr>
          <w:ilvl w:val="0"/>
          <w:numId w:val="3"/>
        </w:numPr>
        <w:spacing w:after="60"/>
      </w:pPr>
      <w:r>
        <w:rPr>
          <w:sz w:val="20"/>
          <w:szCs w:val="20"/>
        </w:rPr>
        <w:t>Bouranis JA, Beaver LM, Jiang D, et al., Ho E. Interplay between Cruciferous Vegetables and the Gut Microbiome: A Multi-Omic Approach. Nutrients. 2022;15(1):42.</w:t>
      </w:r>
    </w:p>
    <w:p w14:paraId="5DA04868" w14:textId="77777777" w:rsidR="00770D0B" w:rsidRDefault="00AB1241">
      <w:pPr>
        <w:pStyle w:val="ListParagraph"/>
        <w:numPr>
          <w:ilvl w:val="0"/>
          <w:numId w:val="3"/>
        </w:numPr>
        <w:spacing w:after="60"/>
      </w:pPr>
      <w:r>
        <w:rPr>
          <w:sz w:val="20"/>
          <w:szCs w:val="20"/>
        </w:rPr>
        <w:t>Bouranis JA, Wong CP, Beaver LM, et al., Ho E. Sulforaphane Bioavailability in Healthy Subjects Fed a Single Serving of Fresh Broccoli Microgreens. Foods. 2023;12(20):3784.</w:t>
      </w:r>
    </w:p>
    <w:p w14:paraId="6906A003" w14:textId="77777777" w:rsidR="00770D0B" w:rsidRDefault="00AB1241">
      <w:pPr>
        <w:pStyle w:val="ListParagraph"/>
        <w:numPr>
          <w:ilvl w:val="0"/>
          <w:numId w:val="3"/>
        </w:numPr>
        <w:spacing w:after="60"/>
      </w:pPr>
      <w:r>
        <w:rPr>
          <w:sz w:val="20"/>
          <w:szCs w:val="20"/>
        </w:rPr>
        <w:t>Dashner-Titus EJ, Schilz JR, Alvarez SA, Wong CP, Simmons K, Ho E, Hudson LG. Zinc supplementation alters tissue distribution of arsenic in Mus musculus. Toxicol Appl Pharmacol. 2023;478:116709.</w:t>
      </w:r>
    </w:p>
    <w:p w14:paraId="3E3571F3" w14:textId="77777777" w:rsidR="00770D0B" w:rsidRDefault="00AB1241">
      <w:pPr>
        <w:pStyle w:val="ListParagraph"/>
        <w:numPr>
          <w:ilvl w:val="0"/>
          <w:numId w:val="3"/>
        </w:numPr>
        <w:spacing w:after="60"/>
      </w:pPr>
      <w:r>
        <w:rPr>
          <w:sz w:val="20"/>
          <w:szCs w:val="20"/>
        </w:rPr>
        <w:t>Ho E, Drake VJ, Michels AJ, et al. Perspective: Optimizing Health with Nutrition—Opportunities, Gaps, and the Future. Adv Nutr. 2023;14(5):948-958.</w:t>
      </w:r>
    </w:p>
    <w:p w14:paraId="23614F78" w14:textId="77777777" w:rsidR="00770D0B" w:rsidRDefault="00AB1241">
      <w:pPr>
        <w:pStyle w:val="ListParagraph"/>
        <w:numPr>
          <w:ilvl w:val="0"/>
          <w:numId w:val="3"/>
        </w:numPr>
        <w:spacing w:after="60"/>
      </w:pPr>
      <w:r>
        <w:rPr>
          <w:sz w:val="20"/>
          <w:szCs w:val="20"/>
        </w:rPr>
        <w:t>Neufeld LM, Ho E, Obeid R, et al. Advancing nutrition science to meet evolving global health needs. Eur J Nutr. 2023;62(Suppl 1):1-16.</w:t>
      </w:r>
    </w:p>
    <w:p w14:paraId="6732806A" w14:textId="77777777" w:rsidR="00770D0B" w:rsidRDefault="00AB1241">
      <w:pPr>
        <w:pStyle w:val="ListParagraph"/>
        <w:numPr>
          <w:ilvl w:val="0"/>
          <w:numId w:val="3"/>
        </w:numPr>
        <w:spacing w:after="60"/>
      </w:pPr>
      <w:r>
        <w:rPr>
          <w:sz w:val="20"/>
          <w:szCs w:val="20"/>
        </w:rPr>
        <w:t>Bouranis JA, Beaver LM, et al., Ho E. Sulforaphane and Sulforaphane-Nitrile Metabolism in Humans Following Broccoli Sprout Consumption. Mol Nutr Food Res. 2023:e2300286.</w:t>
      </w:r>
    </w:p>
    <w:p w14:paraId="177549D6" w14:textId="77777777" w:rsidR="00770D0B" w:rsidRDefault="00AB1241">
      <w:pPr>
        <w:pStyle w:val="ListParagraph"/>
        <w:numPr>
          <w:ilvl w:val="0"/>
          <w:numId w:val="3"/>
        </w:numPr>
        <w:spacing w:after="60"/>
      </w:pPr>
      <w:r>
        <w:rPr>
          <w:sz w:val="20"/>
          <w:szCs w:val="20"/>
        </w:rPr>
        <w:t>Bouranis JA, Ren Y, Beaver LM, et al., Ho E. Identification of biological signatures of cruciferous vegetable consumption utilizing machine learning-based global untargeted stable isotope traced metabolomics. Front Nutr. 2024 Jul 3;11:1390223.</w:t>
      </w:r>
    </w:p>
    <w:p w14:paraId="099E5CBB" w14:textId="77777777" w:rsidR="00770D0B" w:rsidRDefault="00AB1241">
      <w:pPr>
        <w:pStyle w:val="ListParagraph"/>
        <w:numPr>
          <w:ilvl w:val="0"/>
          <w:numId w:val="3"/>
        </w:numPr>
        <w:spacing w:after="60"/>
      </w:pPr>
      <w:r>
        <w:rPr>
          <w:sz w:val="20"/>
          <w:szCs w:val="20"/>
        </w:rPr>
        <w:t>Jamieson PE, Smart EB, Bouranis JA, et al. Gut enterotype-dependent modulation of gut microbiota and their metabolism in response to xanthohumol supplementation in healthy adults. Gut Microbes. 2024;16(1):2315633.</w:t>
      </w:r>
    </w:p>
    <w:p w14:paraId="1B581813" w14:textId="77777777" w:rsidR="00770D0B" w:rsidRDefault="00AB1241">
      <w:pPr>
        <w:pStyle w:val="ListParagraph"/>
        <w:numPr>
          <w:ilvl w:val="0"/>
          <w:numId w:val="3"/>
        </w:numPr>
        <w:spacing w:after="60"/>
      </w:pPr>
      <w:r>
        <w:rPr>
          <w:sz w:val="20"/>
          <w:szCs w:val="20"/>
        </w:rPr>
        <w:t>Sharma P, Wong CP, Ho E, Sampath H. Catalytic activity of OGG1 is impaired by zinc deficiency. DNA Repair. 2024;134:103628.</w:t>
      </w:r>
    </w:p>
    <w:p w14:paraId="1DA055D7" w14:textId="77777777" w:rsidR="00770D0B" w:rsidRDefault="00AB1241">
      <w:pPr>
        <w:pStyle w:val="ListParagraph"/>
        <w:numPr>
          <w:ilvl w:val="0"/>
          <w:numId w:val="3"/>
        </w:numPr>
        <w:spacing w:after="60"/>
      </w:pPr>
      <w:r>
        <w:rPr>
          <w:sz w:val="20"/>
          <w:szCs w:val="20"/>
        </w:rPr>
        <w:t>Beaver LM, Jamieson PE, Wong CP, Hosseinikia M, Stevens JF, Ho E. Promotion of Healthy Aging Through the Nexus of Gut Microbiota and Dietary Phytochemicals. Adv Nutr. 2025;16(3):100376.</w:t>
      </w:r>
    </w:p>
    <w:p w14:paraId="2B09D0C7" w14:textId="77777777" w:rsidR="00770D0B" w:rsidRDefault="00AB1241">
      <w:pPr>
        <w:pStyle w:val="ListParagraph"/>
        <w:numPr>
          <w:ilvl w:val="0"/>
          <w:numId w:val="3"/>
        </w:numPr>
        <w:spacing w:after="60"/>
      </w:pPr>
      <w:r>
        <w:rPr>
          <w:sz w:val="20"/>
          <w:szCs w:val="20"/>
        </w:rPr>
        <w:t>Wong CP, Beaver LM, Ho E. Protective role of dietary zinc on DNA damage, oxidative stress, and metal toxicity. Front Mol Biosci. 2025;12:1618318.</w:t>
      </w:r>
    </w:p>
    <w:p w14:paraId="329B3A8F" w14:textId="77777777" w:rsidR="00770D0B" w:rsidRDefault="00AB1241">
      <w:pPr>
        <w:pStyle w:val="ListParagraph"/>
        <w:numPr>
          <w:ilvl w:val="0"/>
          <w:numId w:val="3"/>
        </w:numPr>
        <w:spacing w:after="60"/>
      </w:pPr>
      <w:r>
        <w:rPr>
          <w:sz w:val="20"/>
          <w:szCs w:val="20"/>
        </w:rPr>
        <w:lastRenderedPageBreak/>
        <w:t>Beaver LM, Leonard SW, Uesugi SL, et al., Ho E. Beneficial changes in total cholesterol, LDL-C, biomarkers of intestinal inflammation, and vitamin E status in adults with metabolic syndrome consuming almonds. Nutr Res. 2025;139:50-65.</w:t>
      </w:r>
    </w:p>
    <w:p w14:paraId="082258BE" w14:textId="77777777" w:rsidR="00770D0B" w:rsidRDefault="00AB1241">
      <w:pPr>
        <w:pStyle w:val="ListParagraph"/>
        <w:numPr>
          <w:ilvl w:val="0"/>
          <w:numId w:val="3"/>
        </w:numPr>
        <w:spacing w:after="60"/>
      </w:pPr>
      <w:r>
        <w:rPr>
          <w:sz w:val="20"/>
          <w:szCs w:val="20"/>
        </w:rPr>
        <w:t>Ho E, Wong CP, Bouranis JA, Shannon J, Zhang Z. Cruciferous Vegetables, Bioactive Metabolites, and Microbiome for Breast Cancer Prevention. Annu Rev Nutr. 2025;45(1):171-195.</w:t>
      </w:r>
    </w:p>
    <w:p w14:paraId="28B32DDE" w14:textId="77777777" w:rsidR="00770D0B" w:rsidRDefault="00770D0B">
      <w:pPr>
        <w:spacing w:after="80"/>
      </w:pPr>
    </w:p>
    <w:p w14:paraId="7CF36401" w14:textId="77777777" w:rsidR="00770D0B" w:rsidRDefault="00AB1241">
      <w:pPr>
        <w:spacing w:after="80"/>
      </w:pPr>
      <w:r>
        <w:rPr>
          <w:i/>
          <w:iCs/>
          <w:sz w:val="20"/>
          <w:szCs w:val="20"/>
        </w:rPr>
        <w:t>Complete publication list (1999–2020) available upon request. Total publications: 140+.</w:t>
      </w:r>
    </w:p>
    <w:p w14:paraId="205069B6" w14:textId="77777777" w:rsidR="00770D0B" w:rsidRDefault="00AB1241">
      <w:pPr>
        <w:pStyle w:val="Heading2"/>
        <w:pBdr>
          <w:bottom w:val="single" w:sz="6" w:space="1" w:color="D3832B"/>
        </w:pBdr>
      </w:pPr>
      <w:r>
        <w:t>Books and Book Chapters</w:t>
      </w:r>
    </w:p>
    <w:p w14:paraId="47F41B98" w14:textId="77777777" w:rsidR="00770D0B" w:rsidRDefault="00AB1241">
      <w:pPr>
        <w:pStyle w:val="ListParagraph"/>
        <w:numPr>
          <w:ilvl w:val="0"/>
          <w:numId w:val="2"/>
        </w:numPr>
        <w:spacing w:after="40"/>
      </w:pPr>
      <w:r>
        <w:t>Bray TM, Ho E, and Levy MA. Glutathione, sulphur amino acids and chemical detoxification. In: Nutrition and Chemical Toxicity, ed. Ioannides. John Wiley &amp; Sons, 1998.</w:t>
      </w:r>
    </w:p>
    <w:p w14:paraId="7AD3840F" w14:textId="77777777" w:rsidR="00770D0B" w:rsidRDefault="00AB1241">
      <w:pPr>
        <w:pStyle w:val="ListParagraph"/>
        <w:numPr>
          <w:ilvl w:val="0"/>
          <w:numId w:val="2"/>
        </w:numPr>
        <w:spacing w:after="40"/>
      </w:pPr>
      <w:r>
        <w:t>Higdon JV and Ho E. The Role of zinc as a metallotherapeutic agent. In: Metallotherapeutic Drugs and Metal-Based Diagnostic Agents. John Wiley &amp; Sons, 2004.</w:t>
      </w:r>
    </w:p>
    <w:p w14:paraId="1F7E3E98" w14:textId="77777777" w:rsidR="00770D0B" w:rsidRDefault="00AB1241">
      <w:pPr>
        <w:pStyle w:val="ListParagraph"/>
        <w:numPr>
          <w:ilvl w:val="0"/>
          <w:numId w:val="2"/>
        </w:numPr>
        <w:spacing w:after="40"/>
      </w:pPr>
      <w:r>
        <w:t>Dashwood RH, Ho E. The emerging epigenetic model of colon cancer, and the role of dietary histone deacetylase (HDAC) inhibitors. Proceedings, Princess Takamatsu Cancer Research Fund, 2009.</w:t>
      </w:r>
    </w:p>
    <w:p w14:paraId="49340C88" w14:textId="77777777" w:rsidR="00770D0B" w:rsidRDefault="00AB1241">
      <w:pPr>
        <w:pStyle w:val="ListParagraph"/>
        <w:numPr>
          <w:ilvl w:val="0"/>
          <w:numId w:val="2"/>
        </w:numPr>
        <w:spacing w:after="40"/>
      </w:pPr>
      <w:r>
        <w:t>Beaver LM and Ho E. The role of cruciferous vegetables in prostate cancer: role of epigenetics. In: Diet, Nutrition and Cancer, Springer Press, 2013.</w:t>
      </w:r>
    </w:p>
    <w:p w14:paraId="6CD1A9E6" w14:textId="77777777" w:rsidR="00770D0B" w:rsidRDefault="00AB1241">
      <w:pPr>
        <w:pStyle w:val="ListParagraph"/>
        <w:numPr>
          <w:ilvl w:val="0"/>
          <w:numId w:val="2"/>
        </w:numPr>
        <w:spacing w:after="40"/>
      </w:pPr>
      <w:r>
        <w:t>Ho E and Domann F (Editors). Nutrition and Epigenetics (Oxidative Stress &amp; Disease Series). CRC Press, Taylor &amp; Francis Group, 2014.</w:t>
      </w:r>
    </w:p>
    <w:p w14:paraId="426FDD5B" w14:textId="77777777" w:rsidR="00770D0B" w:rsidRDefault="00AB1241">
      <w:pPr>
        <w:pStyle w:val="Heading2"/>
        <w:pBdr>
          <w:bottom w:val="single" w:sz="6" w:space="1" w:color="D3832B"/>
        </w:pBdr>
      </w:pPr>
      <w:r>
        <w:t>Teaching</w:t>
      </w:r>
    </w:p>
    <w:p w14:paraId="588BCF30" w14:textId="77777777" w:rsidR="00770D0B" w:rsidRDefault="00AB1241">
      <w:pPr>
        <w:pStyle w:val="Heading3"/>
      </w:pPr>
      <w:r>
        <w:t>Courses Taught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200"/>
        <w:gridCol w:w="2160"/>
      </w:tblGrid>
      <w:tr w:rsidR="00EE1A2B" w14:paraId="2B3C4D5E" w14:textId="77777777">
        <w:trPr>
          <w:tblHeader/>
        </w:trPr>
        <w:tc>
          <w:tcPr>
            <w:tcW w:w="7200" w:type="dxa"/>
            <w:tcBorders>
              <w:top w:val="none" w:sz="0" w:space="0" w:color="FFFFFF"/>
              <w:left w:val="none" w:sz="0" w:space="0" w:color="FFFFFF"/>
              <w:bottom w:val="single" w:sz="4" w:space="0" w:color="595959"/>
              <w:right w:val="none" w:sz="0" w:space="0" w:color="FFFFFF"/>
            </w:tcBorders>
            <w:shd w:val="clear" w:color="auto" w:fill="F2F2F2"/>
            <w:tcMar>
              <w:top w:w="40" w:type="dxa"/>
              <w:left w:w="0" w:type="dxa"/>
              <w:bottom w:w="40" w:type="dxa"/>
              <w:right w:w="80" w:type="dxa"/>
            </w:tcMar>
          </w:tcPr>
          <w:p w14:paraId="2B3C4D5F" w14:textId="77777777" w:rsidR="00EE1A2B" w:rsidRDefault="00EE1A2B">
            <w:r>
              <w:rPr>
                <w:b/>
                <w:bCs/>
              </w:rPr>
              <w:t>Course</w:t>
            </w:r>
          </w:p>
        </w:tc>
        <w:tc>
          <w:tcPr>
            <w:tcW w:w="2160" w:type="dxa"/>
            <w:tcBorders>
              <w:top w:val="none" w:sz="0" w:space="0" w:color="FFFFFF"/>
              <w:left w:val="none" w:sz="0" w:space="0" w:color="FFFFFF"/>
              <w:bottom w:val="single" w:sz="4" w:space="0" w:color="595959"/>
              <w:right w:val="none" w:sz="0" w:space="0" w:color="FFFFFF"/>
            </w:tcBorders>
            <w:shd w:val="clear" w:color="auto" w:fill="F2F2F2"/>
            <w:tcMar>
              <w:top w:w="40" w:type="dxa"/>
              <w:left w:w="0" w:type="dxa"/>
              <w:bottom w:w="40" w:type="dxa"/>
              <w:right w:w="80" w:type="dxa"/>
            </w:tcMar>
          </w:tcPr>
          <w:p w14:paraId="2B3C4D60" w14:textId="77777777" w:rsidR="00EE1A2B" w:rsidRDefault="00EE1A2B">
            <w:r>
              <w:rPr>
                <w:b/>
                <w:bCs/>
              </w:rPr>
              <w:t>Years</w:t>
            </w:r>
          </w:p>
        </w:tc>
      </w:tr>
      <w:tr w:rsidR="00770D0B" w14:paraId="410CA23C" w14:textId="77777777">
        <w:tc>
          <w:tcPr>
            <w:tcW w:w="7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6984A32" w14:textId="77777777" w:rsidR="00770D0B" w:rsidRDefault="00AB1241">
            <w:r>
              <w:t>NUTR 418/518 — Advanced Human Nutrition: Micronutrients (4 credits)</w:t>
            </w:r>
          </w:p>
        </w:tc>
        <w:tc>
          <w:tcPr>
            <w:tcW w:w="2160"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1B6306E8" w14:textId="77777777" w:rsidR="00770D0B" w:rsidRDefault="00AB1241">
            <w:pPr>
              <w:jc w:val="right"/>
            </w:pPr>
            <w:r>
              <w:t>2005–2020</w:t>
            </w:r>
          </w:p>
        </w:tc>
      </w:tr>
      <w:tr w:rsidR="00770D0B" w14:paraId="18CF4EDD" w14:textId="77777777">
        <w:tc>
          <w:tcPr>
            <w:tcW w:w="7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CB8BB3B" w14:textId="77777777" w:rsidR="00770D0B" w:rsidRDefault="00AB1241">
            <w:r>
              <w:t>NUTR 617/699 — Metabolic Interrelationships: Nutrition and Cancer (3 credits)</w:t>
            </w:r>
          </w:p>
        </w:tc>
        <w:tc>
          <w:tcPr>
            <w:tcW w:w="2160"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75F37B54" w14:textId="77777777" w:rsidR="00770D0B" w:rsidRDefault="00AB1241">
            <w:pPr>
              <w:jc w:val="right"/>
            </w:pPr>
            <w:r>
              <w:t>2004–2012</w:t>
            </w:r>
          </w:p>
        </w:tc>
      </w:tr>
      <w:tr w:rsidR="00770D0B" w14:paraId="57FDFAD2" w14:textId="77777777">
        <w:tc>
          <w:tcPr>
            <w:tcW w:w="7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41125D0" w14:textId="77777777" w:rsidR="00770D0B" w:rsidRDefault="00AB1241">
            <w:r>
              <w:t>NUTR 618 — Advances in Micronutrients (3 credits)</w:t>
            </w:r>
          </w:p>
        </w:tc>
        <w:tc>
          <w:tcPr>
            <w:tcW w:w="2160"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00E478E1" w14:textId="77777777" w:rsidR="00770D0B" w:rsidRDefault="00AB1241">
            <w:pPr>
              <w:jc w:val="right"/>
            </w:pPr>
            <w:r>
              <w:t>2009–2012</w:t>
            </w:r>
          </w:p>
        </w:tc>
      </w:tr>
      <w:tr w:rsidR="00770D0B" w14:paraId="4B4FF92D" w14:textId="77777777">
        <w:tc>
          <w:tcPr>
            <w:tcW w:w="7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58C3523" w14:textId="77777777" w:rsidR="00770D0B" w:rsidRDefault="00AB1241">
            <w:r>
              <w:t>NUTR 507 — Graduate Seminar Coordinator (1 credit)</w:t>
            </w:r>
          </w:p>
        </w:tc>
        <w:tc>
          <w:tcPr>
            <w:tcW w:w="2160"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2EDF65C5" w14:textId="77777777" w:rsidR="00770D0B" w:rsidRDefault="00AB1241">
            <w:pPr>
              <w:jc w:val="right"/>
            </w:pPr>
            <w:r>
              <w:t>2004–2012</w:t>
            </w:r>
          </w:p>
        </w:tc>
      </w:tr>
      <w:tr w:rsidR="00770D0B" w14:paraId="42DDAEC6" w14:textId="77777777">
        <w:tc>
          <w:tcPr>
            <w:tcW w:w="7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6171F8B" w14:textId="77777777" w:rsidR="00770D0B" w:rsidRDefault="00AB1241">
            <w:r>
              <w:t>MCB 511 — Research Perspectives, course coordinator (3 credits)</w:t>
            </w:r>
          </w:p>
        </w:tc>
        <w:tc>
          <w:tcPr>
            <w:tcW w:w="2160"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5021FC6D" w14:textId="77777777" w:rsidR="00770D0B" w:rsidRDefault="00AB1241">
            <w:pPr>
              <w:jc w:val="right"/>
            </w:pPr>
            <w:r>
              <w:t>2004–2007</w:t>
            </w:r>
          </w:p>
        </w:tc>
      </w:tr>
    </w:tbl>
    <w:p w14:paraId="4D86BF37" w14:textId="77777777" w:rsidR="00770D0B" w:rsidRDefault="00AB1241">
      <w:pPr>
        <w:pStyle w:val="Heading3"/>
      </w:pPr>
      <w:r>
        <w:t>Undergraduate Student Mentoring (Selected)</w:t>
      </w:r>
    </w:p>
    <w:p w14:paraId="4562804A" w14:textId="77777777" w:rsidR="00770D0B" w:rsidRDefault="00AB1241">
      <w:pPr>
        <w:spacing w:after="80"/>
      </w:pPr>
      <w:r>
        <w:t>Numerous undergraduate students mentored through URAP, SURE, URISC, and HHMI summer research programs, including multiple Honors College thesis advisees. Students have received university research awards and competed successfully in undergraduate research showcases.</w:t>
      </w:r>
    </w:p>
    <w:p w14:paraId="6EE07284" w14:textId="77777777" w:rsidR="00770D0B" w:rsidRDefault="00AB1241">
      <w:pPr>
        <w:pStyle w:val="Heading2"/>
        <w:pBdr>
          <w:bottom w:val="single" w:sz="6" w:space="1" w:color="D3832B"/>
        </w:pBdr>
      </w:pPr>
      <w:r>
        <w:t>Graduate Student Mentoring</w:t>
      </w:r>
    </w:p>
    <w:p w14:paraId="339637C7" w14:textId="77777777" w:rsidR="00770D0B" w:rsidRDefault="00AB1241">
      <w:pPr>
        <w:pStyle w:val="Heading3"/>
      </w:pPr>
      <w:r>
        <w:t>Ph.D. Students Advised (Primary Advisor)</w:t>
      </w:r>
    </w:p>
    <w:p w14:paraId="24E690A8" w14:textId="77777777" w:rsidR="00770D0B" w:rsidRDefault="00AB1241">
      <w:pPr>
        <w:pStyle w:val="ListParagraph"/>
        <w:numPr>
          <w:ilvl w:val="0"/>
          <w:numId w:val="2"/>
        </w:numPr>
        <w:spacing w:after="40"/>
      </w:pPr>
      <w:r>
        <w:t>Mindy Myzak, PhD (MCB), 2003–2005, co-advisor with Rod Dashwood</w:t>
      </w:r>
    </w:p>
    <w:p w14:paraId="3C483BD2" w14:textId="77777777" w:rsidR="00770D0B" w:rsidRDefault="00AB1241">
      <w:pPr>
        <w:pStyle w:val="ListParagraph"/>
        <w:numPr>
          <w:ilvl w:val="0"/>
          <w:numId w:val="2"/>
        </w:numPr>
        <w:spacing w:after="40"/>
      </w:pPr>
      <w:r>
        <w:t>Michelle Yan, PhD (Nutrition), 2003–2008</w:t>
      </w:r>
    </w:p>
    <w:p w14:paraId="3A2BC95F" w14:textId="77777777" w:rsidR="00770D0B" w:rsidRDefault="00AB1241">
      <w:pPr>
        <w:pStyle w:val="ListParagraph"/>
        <w:numPr>
          <w:ilvl w:val="0"/>
          <w:numId w:val="2"/>
        </w:numPr>
        <w:spacing w:after="40"/>
      </w:pPr>
      <w:r>
        <w:t>Yang Song, PhD (Nutrition), 2004–2009</w:t>
      </w:r>
    </w:p>
    <w:p w14:paraId="3CD9126F" w14:textId="77777777" w:rsidR="00770D0B" w:rsidRDefault="00AB1241">
      <w:pPr>
        <w:pStyle w:val="ListParagraph"/>
        <w:numPr>
          <w:ilvl w:val="0"/>
          <w:numId w:val="2"/>
        </w:numPr>
        <w:spacing w:after="40"/>
      </w:pPr>
      <w:r>
        <w:t>Anna Hsu, PhD (Nutrition), 2005–2009</w:t>
      </w:r>
    </w:p>
    <w:p w14:paraId="6EA50CC1" w14:textId="77777777" w:rsidR="00770D0B" w:rsidRDefault="00AB1241">
      <w:pPr>
        <w:pStyle w:val="ListParagraph"/>
        <w:numPr>
          <w:ilvl w:val="0"/>
          <w:numId w:val="2"/>
        </w:numPr>
        <w:spacing w:after="40"/>
      </w:pPr>
      <w:r>
        <w:t>John Clarke, PhD (MCB), 2007–2011; DOD predoctoral fellowship awardee</w:t>
      </w:r>
    </w:p>
    <w:p w14:paraId="4CE73F8C" w14:textId="77777777" w:rsidR="00770D0B" w:rsidRDefault="00AB1241">
      <w:pPr>
        <w:pStyle w:val="ListParagraph"/>
        <w:numPr>
          <w:ilvl w:val="0"/>
          <w:numId w:val="2"/>
        </w:numPr>
        <w:spacing w:after="40"/>
      </w:pPr>
      <w:r>
        <w:t>Lauren Atwell, PhD (Nutrition), 2010–2015</w:t>
      </w:r>
    </w:p>
    <w:p w14:paraId="5E7DCC61" w14:textId="77777777" w:rsidR="00770D0B" w:rsidRDefault="00AB1241">
      <w:pPr>
        <w:pStyle w:val="ListParagraph"/>
        <w:numPr>
          <w:ilvl w:val="0"/>
          <w:numId w:val="2"/>
        </w:numPr>
        <w:spacing w:after="40"/>
      </w:pPr>
      <w:r>
        <w:t>Gregory Watson, PhD (MCB), 2011–2016</w:t>
      </w:r>
    </w:p>
    <w:p w14:paraId="1B167C02" w14:textId="77777777" w:rsidR="00770D0B" w:rsidRDefault="00AB1241">
      <w:pPr>
        <w:pStyle w:val="ListParagraph"/>
        <w:numPr>
          <w:ilvl w:val="0"/>
          <w:numId w:val="2"/>
        </w:numPr>
        <w:spacing w:after="40"/>
      </w:pPr>
      <w:r>
        <w:t>John Bouranis, PhD (Nutrition), 2018–2023; NIFA doctoral fellowship awardee</w:t>
      </w:r>
    </w:p>
    <w:p w14:paraId="48A0193D" w14:textId="77777777" w:rsidR="00770D0B" w:rsidRDefault="00AB1241">
      <w:pPr>
        <w:pStyle w:val="ListParagraph"/>
        <w:numPr>
          <w:ilvl w:val="0"/>
          <w:numId w:val="2"/>
        </w:numPr>
        <w:spacing w:after="40"/>
      </w:pPr>
      <w:r>
        <w:t>Mahak Hosseinikia, PhD (Nutrition), Fall 2023–present; LPI Graduate Scholarship recipient</w:t>
      </w:r>
    </w:p>
    <w:p w14:paraId="40F5220F" w14:textId="77777777" w:rsidR="00770D0B" w:rsidRDefault="00AB1241">
      <w:pPr>
        <w:pStyle w:val="ListParagraph"/>
        <w:numPr>
          <w:ilvl w:val="0"/>
          <w:numId w:val="2"/>
        </w:numPr>
        <w:spacing w:after="40"/>
      </w:pPr>
      <w:r>
        <w:lastRenderedPageBreak/>
        <w:t>Bradley Anderson, PhD (Nutrition), Fall 2024–present</w:t>
      </w:r>
    </w:p>
    <w:p w14:paraId="17287EAE" w14:textId="77777777" w:rsidR="00770D0B" w:rsidRDefault="00AB1241">
      <w:pPr>
        <w:pStyle w:val="Heading3"/>
      </w:pPr>
      <w:r>
        <w:t>Postdoctoral Trainees</w:t>
      </w:r>
    </w:p>
    <w:p w14:paraId="07909BE7" w14:textId="77777777" w:rsidR="00770D0B" w:rsidRDefault="00AB1241">
      <w:pPr>
        <w:pStyle w:val="ListParagraph"/>
        <w:numPr>
          <w:ilvl w:val="0"/>
          <w:numId w:val="2"/>
        </w:numPr>
        <w:spacing w:after="40"/>
      </w:pPr>
      <w:r>
        <w:t>Dr. Orianna Carter, 2004–2006</w:t>
      </w:r>
    </w:p>
    <w:p w14:paraId="51B9935B" w14:textId="77777777" w:rsidR="00770D0B" w:rsidRDefault="00AB1241">
      <w:pPr>
        <w:pStyle w:val="ListParagraph"/>
        <w:numPr>
          <w:ilvl w:val="0"/>
          <w:numId w:val="2"/>
        </w:numPr>
        <w:spacing w:after="40"/>
      </w:pPr>
      <w:r>
        <w:t>Dr. Melinda Myzak, 2005–2006</w:t>
      </w:r>
    </w:p>
    <w:p w14:paraId="5756EADD" w14:textId="77777777" w:rsidR="00770D0B" w:rsidRDefault="00AB1241">
      <w:pPr>
        <w:pStyle w:val="ListParagraph"/>
        <w:numPr>
          <w:ilvl w:val="0"/>
          <w:numId w:val="2"/>
        </w:numPr>
        <w:spacing w:after="40"/>
      </w:pPr>
      <w:r>
        <w:t>Dr. Zhen Yu, 2007–2009</w:t>
      </w:r>
    </w:p>
    <w:p w14:paraId="3C7D1433" w14:textId="77777777" w:rsidR="00770D0B" w:rsidRDefault="00AB1241">
      <w:pPr>
        <w:pStyle w:val="ListParagraph"/>
        <w:numPr>
          <w:ilvl w:val="0"/>
          <w:numId w:val="2"/>
        </w:numPr>
        <w:spacing w:after="40"/>
      </w:pPr>
      <w:r>
        <w:t>Dr. Anna Hsu, 2009–2012</w:t>
      </w:r>
    </w:p>
    <w:p w14:paraId="257CC24B" w14:textId="77777777" w:rsidR="00770D0B" w:rsidRDefault="00AB1241">
      <w:pPr>
        <w:pStyle w:val="ListParagraph"/>
        <w:numPr>
          <w:ilvl w:val="0"/>
          <w:numId w:val="2"/>
        </w:numPr>
        <w:spacing w:after="40"/>
      </w:pPr>
      <w:r>
        <w:t>Dr. Carmen Wong, 2006–present</w:t>
      </w:r>
    </w:p>
    <w:p w14:paraId="3E3681F3" w14:textId="77777777" w:rsidR="00770D0B" w:rsidRDefault="00AB1241">
      <w:pPr>
        <w:pStyle w:val="ListParagraph"/>
        <w:numPr>
          <w:ilvl w:val="0"/>
          <w:numId w:val="2"/>
        </w:numPr>
        <w:spacing w:after="40"/>
      </w:pPr>
      <w:r>
        <w:t>Dr. Laura Beaver, 2011–present</w:t>
      </w:r>
    </w:p>
    <w:p w14:paraId="4C2424CA" w14:textId="77777777" w:rsidR="00770D0B" w:rsidRDefault="00AB1241">
      <w:pPr>
        <w:pStyle w:val="ListParagraph"/>
        <w:numPr>
          <w:ilvl w:val="0"/>
          <w:numId w:val="2"/>
        </w:numPr>
        <w:spacing w:after="40"/>
      </w:pPr>
      <w:r>
        <w:t>Dr. Yasmeen Nkrumah-Elie, 2012–2014</w:t>
      </w:r>
    </w:p>
    <w:p w14:paraId="21A4273C" w14:textId="77777777" w:rsidR="00770D0B" w:rsidRDefault="00AB1241">
      <w:pPr>
        <w:pStyle w:val="ListParagraph"/>
        <w:numPr>
          <w:ilvl w:val="0"/>
          <w:numId w:val="2"/>
        </w:numPr>
        <w:spacing w:after="40"/>
      </w:pPr>
      <w:r>
        <w:t>Dr. ZhenZhen Zhang, 2015–2016</w:t>
      </w:r>
    </w:p>
    <w:p w14:paraId="3181F812" w14:textId="77777777" w:rsidR="00770D0B" w:rsidRDefault="00AB1241">
      <w:pPr>
        <w:pStyle w:val="ListParagraph"/>
        <w:numPr>
          <w:ilvl w:val="0"/>
          <w:numId w:val="2"/>
        </w:numPr>
        <w:spacing w:after="40"/>
      </w:pPr>
      <w:r>
        <w:t>Dr. Edward Davis, 2017–present</w:t>
      </w:r>
    </w:p>
    <w:p w14:paraId="6216AB1F" w14:textId="77777777" w:rsidR="00770D0B" w:rsidRDefault="00AB1241">
      <w:pPr>
        <w:pStyle w:val="Heading2"/>
        <w:pBdr>
          <w:bottom w:val="single" w:sz="6" w:space="1" w:color="D3832B"/>
        </w:pBdr>
      </w:pPr>
      <w:r>
        <w:t>Service</w:t>
      </w:r>
    </w:p>
    <w:p w14:paraId="1AAFA346" w14:textId="77777777" w:rsidR="00770D0B" w:rsidRDefault="00AB1241">
      <w:pPr>
        <w:pStyle w:val="Heading3"/>
      </w:pPr>
      <w:r>
        <w:t>Departmental and School Service</w:t>
      </w:r>
    </w:p>
    <w:p w14:paraId="5F177431" w14:textId="77777777" w:rsidR="00770D0B" w:rsidRDefault="00AB1241">
      <w:pPr>
        <w:pStyle w:val="ListParagraph"/>
        <w:numPr>
          <w:ilvl w:val="0"/>
          <w:numId w:val="2"/>
        </w:numPr>
        <w:spacing w:after="40"/>
      </w:pPr>
      <w:r>
        <w:t>Undergraduate professional advisor, Nutritional Sciences track (2003–present)</w:t>
      </w:r>
    </w:p>
    <w:p w14:paraId="21D16BBF" w14:textId="77777777" w:rsidR="00770D0B" w:rsidRDefault="00AB1241">
      <w:pPr>
        <w:pStyle w:val="ListParagraph"/>
        <w:numPr>
          <w:ilvl w:val="0"/>
          <w:numId w:val="2"/>
        </w:numPr>
        <w:spacing w:after="40"/>
      </w:pPr>
      <w:r>
        <w:t>NES Curriculum Committee, co-chair (2005–2006) and member (2006–present)</w:t>
      </w:r>
    </w:p>
    <w:p w14:paraId="7A1F4018" w14:textId="77777777" w:rsidR="00770D0B" w:rsidRDefault="00AB1241">
      <w:pPr>
        <w:pStyle w:val="ListParagraph"/>
        <w:numPr>
          <w:ilvl w:val="0"/>
          <w:numId w:val="2"/>
        </w:numPr>
        <w:spacing w:after="40"/>
      </w:pPr>
      <w:r>
        <w:t>Personnel Committee (2008–2012, 2016–2019)</w:t>
      </w:r>
    </w:p>
    <w:p w14:paraId="1BEAE463" w14:textId="77777777" w:rsidR="00770D0B" w:rsidRDefault="00AB1241">
      <w:pPr>
        <w:pStyle w:val="ListParagraph"/>
        <w:numPr>
          <w:ilvl w:val="0"/>
          <w:numId w:val="2"/>
        </w:numPr>
        <w:spacing w:after="40"/>
      </w:pPr>
      <w:r>
        <w:t>Nutrition Graduate Program Selection Committee (2021–present)</w:t>
      </w:r>
    </w:p>
    <w:p w14:paraId="1D48739F" w14:textId="77777777" w:rsidR="00770D0B" w:rsidRDefault="00AB1241">
      <w:pPr>
        <w:pStyle w:val="ListParagraph"/>
        <w:numPr>
          <w:ilvl w:val="0"/>
          <w:numId w:val="2"/>
        </w:numPr>
        <w:spacing w:after="40"/>
      </w:pPr>
      <w:r>
        <w:t>Multiple faculty search committee chair and member roles (2006–2023)</w:t>
      </w:r>
    </w:p>
    <w:p w14:paraId="7F886370" w14:textId="77777777" w:rsidR="00770D0B" w:rsidRDefault="00AB1241">
      <w:pPr>
        <w:pStyle w:val="Heading3"/>
      </w:pPr>
      <w:r>
        <w:t>University Service</w:t>
      </w:r>
    </w:p>
    <w:p w14:paraId="2E5BC73C" w14:textId="77777777" w:rsidR="00770D0B" w:rsidRDefault="00AB1241">
      <w:pPr>
        <w:pStyle w:val="ListParagraph"/>
        <w:numPr>
          <w:ilvl w:val="0"/>
          <w:numId w:val="2"/>
        </w:numPr>
        <w:spacing w:after="40"/>
      </w:pPr>
      <w:r>
        <w:t>Faculty Senate (2003–2006)</w:t>
      </w:r>
    </w:p>
    <w:p w14:paraId="11F712E7" w14:textId="77777777" w:rsidR="00770D0B" w:rsidRDefault="00AB1241">
      <w:pPr>
        <w:pStyle w:val="ListParagraph"/>
        <w:numPr>
          <w:ilvl w:val="0"/>
          <w:numId w:val="2"/>
        </w:numPr>
        <w:spacing w:after="40"/>
      </w:pPr>
      <w:r>
        <w:t>OSU Microbiome Initiative Advisory Member (2017–present)</w:t>
      </w:r>
    </w:p>
    <w:p w14:paraId="4E9CF40B" w14:textId="77777777" w:rsidR="00770D0B" w:rsidRDefault="00AB1241">
      <w:pPr>
        <w:pStyle w:val="ListParagraph"/>
        <w:numPr>
          <w:ilvl w:val="0"/>
          <w:numId w:val="2"/>
        </w:numPr>
        <w:spacing w:after="40"/>
      </w:pPr>
      <w:r>
        <w:t>Healthy Campus Coalition, Co-Chair, Campus Wellness Task Force (2018–present)</w:t>
      </w:r>
    </w:p>
    <w:p w14:paraId="764B38D0" w14:textId="77777777" w:rsidR="00770D0B" w:rsidRDefault="00AB1241">
      <w:pPr>
        <w:pStyle w:val="ListParagraph"/>
        <w:numPr>
          <w:ilvl w:val="0"/>
          <w:numId w:val="2"/>
        </w:numPr>
        <w:spacing w:after="40"/>
      </w:pPr>
      <w:r>
        <w:t>OSU Strategic Plan Task Force Chair – Integrated Health and Biotechnology (2022–present)</w:t>
      </w:r>
    </w:p>
    <w:p w14:paraId="3ECF7634" w14:textId="77777777" w:rsidR="00770D0B" w:rsidRDefault="00AB1241">
      <w:pPr>
        <w:pStyle w:val="ListParagraph"/>
        <w:numPr>
          <w:ilvl w:val="0"/>
          <w:numId w:val="2"/>
        </w:numPr>
        <w:spacing w:after="40"/>
      </w:pPr>
      <w:r>
        <w:t>OSU University Industry Partnerships Strategic Task Force (2021–present)</w:t>
      </w:r>
    </w:p>
    <w:p w14:paraId="37F67F6F" w14:textId="77777777" w:rsidR="00770D0B" w:rsidRDefault="00AB1241">
      <w:pPr>
        <w:pStyle w:val="ListParagraph"/>
        <w:numPr>
          <w:ilvl w:val="0"/>
          <w:numId w:val="2"/>
        </w:numPr>
        <w:spacing w:after="40"/>
      </w:pPr>
      <w:r>
        <w:t>Medical Research Foundation Oregon Council, OSU Representative (2020–present)</w:t>
      </w:r>
    </w:p>
    <w:p w14:paraId="0683974D" w14:textId="77777777" w:rsidR="00770D0B" w:rsidRDefault="00AB1241">
      <w:pPr>
        <w:pStyle w:val="Heading3"/>
      </w:pPr>
      <w:r>
        <w:t>Professional Service</w:t>
      </w:r>
    </w:p>
    <w:p w14:paraId="01500D83" w14:textId="77777777" w:rsidR="00770D0B" w:rsidRDefault="00AB1241">
      <w:pPr>
        <w:pStyle w:val="ListParagraph"/>
        <w:numPr>
          <w:ilvl w:val="0"/>
          <w:numId w:val="2"/>
        </w:numPr>
        <w:spacing w:after="40"/>
      </w:pPr>
      <w:r>
        <w:t>Editorial Board, Journal of Nutrition (2013–present)</w:t>
      </w:r>
    </w:p>
    <w:p w14:paraId="77231854" w14:textId="77777777" w:rsidR="00770D0B" w:rsidRDefault="00AB1241">
      <w:pPr>
        <w:pStyle w:val="ListParagraph"/>
        <w:numPr>
          <w:ilvl w:val="0"/>
          <w:numId w:val="2"/>
        </w:numPr>
        <w:spacing w:after="40"/>
      </w:pPr>
      <w:r>
        <w:t>Editorial Board, Journal of Nutritional Biochemistry (2004–present)</w:t>
      </w:r>
    </w:p>
    <w:p w14:paraId="18694222" w14:textId="77777777" w:rsidR="00770D0B" w:rsidRDefault="00AB1241">
      <w:pPr>
        <w:pStyle w:val="ListParagraph"/>
        <w:numPr>
          <w:ilvl w:val="0"/>
          <w:numId w:val="2"/>
        </w:numPr>
        <w:spacing w:after="40"/>
      </w:pPr>
      <w:r>
        <w:t>Editorial Board, Frontiers in Epigenetics (2010–present)</w:t>
      </w:r>
    </w:p>
    <w:p w14:paraId="191ADBDC" w14:textId="77777777" w:rsidR="00770D0B" w:rsidRDefault="00AB1241">
      <w:pPr>
        <w:pStyle w:val="ListParagraph"/>
        <w:numPr>
          <w:ilvl w:val="0"/>
          <w:numId w:val="2"/>
        </w:numPr>
        <w:spacing w:after="40"/>
      </w:pPr>
      <w:r>
        <w:t>NCI-CPSS Study Section, standing member (2023–present)</w:t>
      </w:r>
    </w:p>
    <w:p w14:paraId="367141AB" w14:textId="77777777" w:rsidR="00770D0B" w:rsidRDefault="00AB1241">
      <w:pPr>
        <w:pStyle w:val="ListParagraph"/>
        <w:numPr>
          <w:ilvl w:val="0"/>
          <w:numId w:val="2"/>
        </w:numPr>
        <w:spacing w:after="40"/>
      </w:pPr>
      <w:r>
        <w:t>Organizer/Chair, Diet and Optimum Health Conference (2021, 2023, 2025)</w:t>
      </w:r>
    </w:p>
    <w:p w14:paraId="31F1002F" w14:textId="77777777" w:rsidR="00770D0B" w:rsidRDefault="00AB1241">
      <w:pPr>
        <w:pStyle w:val="ListParagraph"/>
        <w:numPr>
          <w:ilvl w:val="0"/>
          <w:numId w:val="2"/>
        </w:numPr>
        <w:spacing w:after="40"/>
      </w:pPr>
      <w:r>
        <w:t>USDA National Nutrition Program 5-year review committee, Review Chair (2022)</w:t>
      </w:r>
    </w:p>
    <w:p w14:paraId="05A0D45C" w14:textId="77777777" w:rsidR="00770D0B" w:rsidRDefault="00AB1241">
      <w:pPr>
        <w:pStyle w:val="ListParagraph"/>
        <w:numPr>
          <w:ilvl w:val="0"/>
          <w:numId w:val="2"/>
        </w:numPr>
        <w:spacing w:after="40"/>
      </w:pPr>
      <w:r>
        <w:t>USDA NP107 ARS Program Review Chair (2023)</w:t>
      </w:r>
    </w:p>
    <w:p w14:paraId="05FF7344" w14:textId="77777777" w:rsidR="00770D0B" w:rsidRDefault="00AB1241">
      <w:pPr>
        <w:pStyle w:val="ListParagraph"/>
        <w:numPr>
          <w:ilvl w:val="0"/>
          <w:numId w:val="2"/>
        </w:numPr>
        <w:spacing w:after="40"/>
      </w:pPr>
      <w:r>
        <w:t>Chair, Vitamins &amp; Minerals Research Interest Section, American Society of Nutrition (2007–2008)</w:t>
      </w:r>
    </w:p>
    <w:p w14:paraId="33F5A0C4" w14:textId="77777777" w:rsidR="00770D0B" w:rsidRDefault="00AB1241">
      <w:pPr>
        <w:pStyle w:val="ListParagraph"/>
        <w:numPr>
          <w:ilvl w:val="0"/>
          <w:numId w:val="2"/>
        </w:numPr>
        <w:spacing w:after="40"/>
      </w:pPr>
      <w:r>
        <w:t>Data Safety Monitoring Board member &amp; chair, OHSU/OSU 'Xanthohumol and Metabolic Syndrome' Clinical Trial (2011–2012)</w:t>
      </w:r>
    </w:p>
    <w:p w14:paraId="7125475B" w14:textId="77777777" w:rsidR="00770D0B" w:rsidRDefault="00AB1241">
      <w:pPr>
        <w:pStyle w:val="ListParagraph"/>
        <w:numPr>
          <w:ilvl w:val="0"/>
          <w:numId w:val="2"/>
        </w:numPr>
        <w:spacing w:after="40"/>
      </w:pPr>
      <w:r>
        <w:t>Scientific Advisor, Whole Grain Council</w:t>
      </w:r>
    </w:p>
    <w:p w14:paraId="3E2F6B30" w14:textId="77777777" w:rsidR="00770D0B" w:rsidRDefault="00AB1241">
      <w:pPr>
        <w:pStyle w:val="ListParagraph"/>
        <w:numPr>
          <w:ilvl w:val="0"/>
          <w:numId w:val="2"/>
        </w:numPr>
        <w:spacing w:after="40"/>
      </w:pPr>
      <w:r>
        <w:t>Grant reviewer: NIH, USDA, NCI, DOD, Canada Foundation for Innovation, Medical Research Council UK, and others</w:t>
      </w:r>
    </w:p>
    <w:p w14:paraId="3C2FF777" w14:textId="77777777" w:rsidR="00770D0B" w:rsidRDefault="00AB1241">
      <w:pPr>
        <w:pStyle w:val="ListParagraph"/>
        <w:numPr>
          <w:ilvl w:val="0"/>
          <w:numId w:val="2"/>
        </w:numPr>
        <w:spacing w:after="40"/>
      </w:pPr>
      <w:r>
        <w:t>Ad hoc manuscript reviewer for 20+ journals including Am J Clin Nutr, J Nutr, J Biol Chem, Cancer Letters, PLOS One, and others</w:t>
      </w:r>
    </w:p>
    <w:p w14:paraId="173560B5" w14:textId="77777777" w:rsidR="00770D0B" w:rsidRDefault="00AB1241">
      <w:pPr>
        <w:pStyle w:val="Heading2"/>
        <w:pBdr>
          <w:bottom w:val="single" w:sz="6" w:space="1" w:color="D3832B"/>
        </w:pBdr>
      </w:pPr>
      <w:r>
        <w:t>Administration</w:t>
      </w:r>
    </w:p>
    <w:p w14:paraId="75CBB660" w14:textId="77777777" w:rsidR="00770D0B" w:rsidRDefault="00AB1241">
      <w:pPr>
        <w:pStyle w:val="Heading3"/>
      </w:pPr>
      <w:r>
        <w:lastRenderedPageBreak/>
        <w:t>Director, Linus Pauling Institute (2020–present)</w:t>
      </w:r>
    </w:p>
    <w:p w14:paraId="23206AAD" w14:textId="77777777" w:rsidR="00770D0B" w:rsidRDefault="00AB1241">
      <w:pPr>
        <w:spacing w:after="80"/>
      </w:pPr>
      <w:r>
        <w:t>As Endowed Chair and Director of the Linus Pauling Institute (LPI), Dr. Ho oversees the overall operations of the institute with an operating budget of approximately $3.0M plus extramural grant funding. The LPI houses about 70 faculty, staff, and students with 12 faculty as principal investigators. Dr. Ho raises approximately $1.0M in philanthropic gifts annually. Leadership efforts focus on advancing the institute's transdisciplinary research mission through external funding and facilitating education and outreach. The LPI's Micronutrient Information Center is a valued worldwide resource on micronutrients, phytochemicals, and health. The LPI also hosts a biannual continuing education conference, 'Diet and Optimum Health,' bringing together leaders in research on optimal health.</w:t>
      </w:r>
    </w:p>
    <w:p w14:paraId="2DA9349B" w14:textId="77777777" w:rsidR="00770D0B" w:rsidRDefault="00AB1241">
      <w:pPr>
        <w:pStyle w:val="Heading3"/>
      </w:pPr>
      <w:r>
        <w:t>Endowed Director, Moore Family Center for Whole Grain Foods, Nutrition and Preventive Health (2012–2020)</w:t>
      </w:r>
    </w:p>
    <w:p w14:paraId="4F53FC45" w14:textId="77777777" w:rsidR="00770D0B" w:rsidRDefault="00AB1241">
      <w:pPr>
        <w:spacing w:after="80"/>
      </w:pPr>
      <w:r>
        <w:t>Led the Moore Family Center with a mission to excel in research, education, and outreach around nutrition and healthy eating. Oversaw interdisciplinary collaborations, graduate and undergraduate training, statewide community outreach programs through OSU Extension and 4H, and continuing education conferences including the annual Food, Nutrition &amp; Health Update and the 2015 International Whole Grain Summit in Portland, OR.</w:t>
      </w:r>
    </w:p>
    <w:p w14:paraId="6401B45D" w14:textId="77777777" w:rsidR="00770D0B" w:rsidRDefault="00AB1241">
      <w:pPr>
        <w:pStyle w:val="Heading2"/>
        <w:pBdr>
          <w:bottom w:val="single" w:sz="6" w:space="1" w:color="D3832B"/>
        </w:pBdr>
      </w:pPr>
      <w:r>
        <w:t>Other</w:t>
      </w:r>
    </w:p>
    <w:p w14:paraId="307130B3" w14:textId="77777777" w:rsidR="00770D0B" w:rsidRDefault="00AB1241">
      <w:pPr>
        <w:spacing w:after="80"/>
      </w:pPr>
      <w:r>
        <w:t>Faculty/Staff Fitness Instructor, Cardio Kickboxing (2003–present)</w:t>
      </w:r>
    </w:p>
    <w:sectPr w:rsidR="00770D0B">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291"/>
    <w:multiLevelType w:val="hybridMultilevel"/>
    <w:tmpl w:val="F1BEB90C"/>
    <w:lvl w:ilvl="0" w:tplc="86D298D8">
      <w:start w:val="1"/>
      <w:numFmt w:val="bullet"/>
      <w:lvlText w:val="•"/>
      <w:lvlJc w:val="left"/>
      <w:pPr>
        <w:ind w:left="540" w:hanging="300"/>
      </w:pPr>
    </w:lvl>
    <w:lvl w:ilvl="1" w:tplc="20608D6C">
      <w:numFmt w:val="decimal"/>
      <w:lvlText w:val=""/>
      <w:lvlJc w:val="left"/>
    </w:lvl>
    <w:lvl w:ilvl="2" w:tplc="FB44EB42">
      <w:numFmt w:val="decimal"/>
      <w:lvlText w:val=""/>
      <w:lvlJc w:val="left"/>
    </w:lvl>
    <w:lvl w:ilvl="3" w:tplc="C3F66686">
      <w:numFmt w:val="decimal"/>
      <w:lvlText w:val=""/>
      <w:lvlJc w:val="left"/>
    </w:lvl>
    <w:lvl w:ilvl="4" w:tplc="8B34EB4E">
      <w:numFmt w:val="decimal"/>
      <w:lvlText w:val=""/>
      <w:lvlJc w:val="left"/>
    </w:lvl>
    <w:lvl w:ilvl="5" w:tplc="A5540546">
      <w:numFmt w:val="decimal"/>
      <w:lvlText w:val=""/>
      <w:lvlJc w:val="left"/>
    </w:lvl>
    <w:lvl w:ilvl="6" w:tplc="AB9AD4D0">
      <w:numFmt w:val="decimal"/>
      <w:lvlText w:val=""/>
      <w:lvlJc w:val="left"/>
    </w:lvl>
    <w:lvl w:ilvl="7" w:tplc="E13EC732">
      <w:numFmt w:val="decimal"/>
      <w:lvlText w:val=""/>
      <w:lvlJc w:val="left"/>
    </w:lvl>
    <w:lvl w:ilvl="8" w:tplc="5D2E0FDE">
      <w:numFmt w:val="decimal"/>
      <w:lvlText w:val=""/>
      <w:lvlJc w:val="left"/>
    </w:lvl>
  </w:abstractNum>
  <w:abstractNum w:abstractNumId="1" w15:restartNumberingAfterBreak="0">
    <w:nsid w:val="4CD95E00"/>
    <w:multiLevelType w:val="hybridMultilevel"/>
    <w:tmpl w:val="BD5C16BC"/>
    <w:lvl w:ilvl="0" w:tplc="B39014A0">
      <w:start w:val="1"/>
      <w:numFmt w:val="decimal"/>
      <w:lvlText w:val="%1."/>
      <w:lvlJc w:val="left"/>
      <w:pPr>
        <w:ind w:left="540" w:hanging="360"/>
      </w:pPr>
    </w:lvl>
    <w:lvl w:ilvl="1" w:tplc="87D8E734">
      <w:numFmt w:val="decimal"/>
      <w:lvlText w:val=""/>
      <w:lvlJc w:val="left"/>
    </w:lvl>
    <w:lvl w:ilvl="2" w:tplc="4460AAD6">
      <w:numFmt w:val="decimal"/>
      <w:lvlText w:val=""/>
      <w:lvlJc w:val="left"/>
    </w:lvl>
    <w:lvl w:ilvl="3" w:tplc="653E5412">
      <w:numFmt w:val="decimal"/>
      <w:lvlText w:val=""/>
      <w:lvlJc w:val="left"/>
    </w:lvl>
    <w:lvl w:ilvl="4" w:tplc="BCB4F9F2">
      <w:numFmt w:val="decimal"/>
      <w:lvlText w:val=""/>
      <w:lvlJc w:val="left"/>
    </w:lvl>
    <w:lvl w:ilvl="5" w:tplc="46B644BC">
      <w:numFmt w:val="decimal"/>
      <w:lvlText w:val=""/>
      <w:lvlJc w:val="left"/>
    </w:lvl>
    <w:lvl w:ilvl="6" w:tplc="35740218">
      <w:numFmt w:val="decimal"/>
      <w:lvlText w:val=""/>
      <w:lvlJc w:val="left"/>
    </w:lvl>
    <w:lvl w:ilvl="7" w:tplc="AE36E6D8">
      <w:numFmt w:val="decimal"/>
      <w:lvlText w:val=""/>
      <w:lvlJc w:val="left"/>
    </w:lvl>
    <w:lvl w:ilvl="8" w:tplc="7A5C8B60">
      <w:numFmt w:val="decimal"/>
      <w:lvlText w:val=""/>
      <w:lvlJc w:val="left"/>
    </w:lvl>
  </w:abstractNum>
  <w:abstractNum w:abstractNumId="2" w15:restartNumberingAfterBreak="0">
    <w:nsid w:val="53DA2A9C"/>
    <w:multiLevelType w:val="hybridMultilevel"/>
    <w:tmpl w:val="A33A7630"/>
    <w:lvl w:ilvl="0" w:tplc="9B0CC49C">
      <w:start w:val="1"/>
      <w:numFmt w:val="bullet"/>
      <w:lvlText w:val="•"/>
      <w:lvlJc w:val="left"/>
      <w:pPr>
        <w:ind w:left="540" w:hanging="300"/>
      </w:pPr>
    </w:lvl>
    <w:lvl w:ilvl="1" w:tplc="17C68E66">
      <w:numFmt w:val="decimal"/>
      <w:lvlText w:val=""/>
      <w:lvlJc w:val="left"/>
    </w:lvl>
    <w:lvl w:ilvl="2" w:tplc="6B46D09E">
      <w:numFmt w:val="decimal"/>
      <w:lvlText w:val=""/>
      <w:lvlJc w:val="left"/>
    </w:lvl>
    <w:lvl w:ilvl="3" w:tplc="C590C758">
      <w:numFmt w:val="decimal"/>
      <w:lvlText w:val=""/>
      <w:lvlJc w:val="left"/>
    </w:lvl>
    <w:lvl w:ilvl="4" w:tplc="2A489964">
      <w:numFmt w:val="decimal"/>
      <w:lvlText w:val=""/>
      <w:lvlJc w:val="left"/>
    </w:lvl>
    <w:lvl w:ilvl="5" w:tplc="0784C426">
      <w:numFmt w:val="decimal"/>
      <w:lvlText w:val=""/>
      <w:lvlJc w:val="left"/>
    </w:lvl>
    <w:lvl w:ilvl="6" w:tplc="9DDA1B18">
      <w:numFmt w:val="decimal"/>
      <w:lvlText w:val=""/>
      <w:lvlJc w:val="left"/>
    </w:lvl>
    <w:lvl w:ilvl="7" w:tplc="C6DC7BC0">
      <w:numFmt w:val="decimal"/>
      <w:lvlText w:val=""/>
      <w:lvlJc w:val="left"/>
    </w:lvl>
    <w:lvl w:ilvl="8" w:tplc="FBDCAD2E">
      <w:numFmt w:val="decimal"/>
      <w:lvlText w:val=""/>
      <w:lvlJc w:val="left"/>
    </w:lvl>
  </w:abstractNum>
  <w:abstractNum w:abstractNumId="3" w15:restartNumberingAfterBreak="0">
    <w:nsid w:val="7D7C5E52"/>
    <w:multiLevelType w:val="hybridMultilevel"/>
    <w:tmpl w:val="7C46248E"/>
    <w:lvl w:ilvl="0" w:tplc="E3C0C31E">
      <w:start w:val="1"/>
      <w:numFmt w:val="bullet"/>
      <w:lvlText w:val="●"/>
      <w:lvlJc w:val="left"/>
      <w:pPr>
        <w:ind w:left="720" w:hanging="360"/>
      </w:pPr>
    </w:lvl>
    <w:lvl w:ilvl="1" w:tplc="E83CF1CE">
      <w:start w:val="1"/>
      <w:numFmt w:val="bullet"/>
      <w:lvlText w:val="○"/>
      <w:lvlJc w:val="left"/>
      <w:pPr>
        <w:ind w:left="1440" w:hanging="360"/>
      </w:pPr>
    </w:lvl>
    <w:lvl w:ilvl="2" w:tplc="309C1E60">
      <w:start w:val="1"/>
      <w:numFmt w:val="bullet"/>
      <w:lvlText w:val="■"/>
      <w:lvlJc w:val="left"/>
      <w:pPr>
        <w:ind w:left="2160" w:hanging="360"/>
      </w:pPr>
    </w:lvl>
    <w:lvl w:ilvl="3" w:tplc="A1EED7E4">
      <w:start w:val="1"/>
      <w:numFmt w:val="bullet"/>
      <w:lvlText w:val="●"/>
      <w:lvlJc w:val="left"/>
      <w:pPr>
        <w:ind w:left="2880" w:hanging="360"/>
      </w:pPr>
    </w:lvl>
    <w:lvl w:ilvl="4" w:tplc="E604C47A">
      <w:start w:val="1"/>
      <w:numFmt w:val="bullet"/>
      <w:lvlText w:val="○"/>
      <w:lvlJc w:val="left"/>
      <w:pPr>
        <w:ind w:left="3600" w:hanging="360"/>
      </w:pPr>
    </w:lvl>
    <w:lvl w:ilvl="5" w:tplc="1C74E7F4">
      <w:start w:val="1"/>
      <w:numFmt w:val="bullet"/>
      <w:lvlText w:val="■"/>
      <w:lvlJc w:val="left"/>
      <w:pPr>
        <w:ind w:left="4320" w:hanging="360"/>
      </w:pPr>
    </w:lvl>
    <w:lvl w:ilvl="6" w:tplc="2C900F52">
      <w:start w:val="1"/>
      <w:numFmt w:val="bullet"/>
      <w:lvlText w:val="●"/>
      <w:lvlJc w:val="left"/>
      <w:pPr>
        <w:ind w:left="5040" w:hanging="360"/>
      </w:pPr>
    </w:lvl>
    <w:lvl w:ilvl="7" w:tplc="0DCC95DE">
      <w:start w:val="1"/>
      <w:numFmt w:val="bullet"/>
      <w:lvlText w:val="●"/>
      <w:lvlJc w:val="left"/>
      <w:pPr>
        <w:ind w:left="5760" w:hanging="360"/>
      </w:pPr>
    </w:lvl>
    <w:lvl w:ilvl="8" w:tplc="D116B2B4">
      <w:start w:val="1"/>
      <w:numFmt w:val="bullet"/>
      <w:lvlText w:val="●"/>
      <w:lvlJc w:val="left"/>
      <w:pPr>
        <w:ind w:left="6480" w:hanging="360"/>
      </w:pPr>
    </w:lvl>
  </w:abstractNum>
  <w:num w:numId="1" w16cid:durableId="922255131">
    <w:abstractNumId w:val="3"/>
    <w:lvlOverride w:ilvl="0">
      <w:startOverride w:val="1"/>
    </w:lvlOverride>
  </w:num>
  <w:num w:numId="2" w16cid:durableId="1488551251">
    <w:abstractNumId w:val="2"/>
    <w:lvlOverride w:ilvl="0">
      <w:startOverride w:val="1"/>
    </w:lvlOverride>
  </w:num>
  <w:num w:numId="3" w16cid:durableId="148970883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D0B"/>
    <w:rsid w:val="005472E7"/>
    <w:rsid w:val="00754A22"/>
    <w:rsid w:val="00770D0B"/>
    <w:rsid w:val="007D3B2A"/>
    <w:rsid w:val="00A171E2"/>
    <w:rsid w:val="00AB1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877EA"/>
  <w15:docId w15:val="{40243D31-765B-4989-B5C3-D2A6F5C60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40"/>
      <w:szCs w:val="40"/>
    </w:rPr>
  </w:style>
  <w:style w:type="paragraph" w:styleId="Heading2">
    <w:name w:val="heading 2"/>
    <w:uiPriority w:val="9"/>
    <w:unhideWhenUsed/>
    <w:qFormat/>
    <w:pPr>
      <w:spacing w:before="240" w:after="80"/>
      <w:outlineLvl w:val="1"/>
    </w:pPr>
    <w:rPr>
      <w:b/>
      <w:bCs/>
      <w:sz w:val="28"/>
      <w:szCs w:val="28"/>
    </w:rPr>
  </w:style>
  <w:style w:type="paragraph" w:styleId="Heading3">
    <w:name w:val="heading 3"/>
    <w:uiPriority w:val="9"/>
    <w:unhideWhenUsed/>
    <w:qFormat/>
    <w:pPr>
      <w:spacing w:before="160" w:after="60"/>
      <w:outlineLvl w:val="2"/>
    </w:pPr>
    <w:rPr>
      <w:b/>
      <w:bCs/>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ily.ho@oregon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2227</Words>
  <Characters>14276</Characters>
  <Application>Microsoft Office Word</Application>
  <DocSecurity>0</DocSecurity>
  <Lines>384</Lines>
  <Paragraphs>240</Paragraphs>
  <ScaleCrop>false</ScaleCrop>
  <Company>Oregon State University</Company>
  <LinksUpToDate>false</LinksUpToDate>
  <CharactersWithSpaces>16266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Emily Ho, Ph.D.</dc:title>
  <dc:creator>Emily Ho</dc:creator>
  <dc:description>Curriculum Vitae - Emily Ho, Ph.D., Oregon State University</dc:description>
  <cp:lastModifiedBy>Calvert, Alan</cp:lastModifiedBy>
  <cp:revision>4</cp:revision>
  <dcterms:created xsi:type="dcterms:W3CDTF">2026-04-13T03:54:00Z</dcterms:created>
  <dcterms:modified xsi:type="dcterms:W3CDTF">2026-04-13T19:15:00Z</dcterms:modified>
  <dc:language>en-US</dc:language>
</cp:coreProperties>
</file>